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E2" w:rsidRPr="00790F05" w:rsidRDefault="00495AE2" w:rsidP="00A61929">
      <w:pPr>
        <w:pStyle w:val="BodyText2"/>
        <w:spacing w:line="240" w:lineRule="auto"/>
        <w:ind w:left="3540" w:firstLine="708"/>
        <w:jc w:val="right"/>
        <w:rPr>
          <w:bCs/>
          <w:sz w:val="20"/>
          <w:szCs w:val="20"/>
          <w:lang w:val="pl-PL"/>
        </w:rPr>
      </w:pPr>
    </w:p>
    <w:p w:rsidR="00A61929" w:rsidRPr="00790F05" w:rsidRDefault="00A61929" w:rsidP="00A61929">
      <w:pPr>
        <w:pStyle w:val="BodyText2"/>
        <w:spacing w:line="240" w:lineRule="auto"/>
        <w:ind w:left="3540" w:firstLine="708"/>
        <w:jc w:val="right"/>
        <w:rPr>
          <w:bCs/>
          <w:sz w:val="20"/>
          <w:szCs w:val="20"/>
          <w:lang w:val="pl-PL"/>
        </w:rPr>
      </w:pPr>
      <w:r w:rsidRPr="00790F05">
        <w:rPr>
          <w:bCs/>
          <w:sz w:val="20"/>
          <w:szCs w:val="20"/>
          <w:lang w:val="pl-PL"/>
        </w:rPr>
        <w:t xml:space="preserve">Warszawa, </w:t>
      </w:r>
      <w:r w:rsidR="00737B6B">
        <w:rPr>
          <w:bCs/>
          <w:sz w:val="20"/>
          <w:szCs w:val="20"/>
          <w:lang w:val="pl-PL"/>
        </w:rPr>
        <w:t>06</w:t>
      </w:r>
      <w:r w:rsidRPr="00790F05">
        <w:rPr>
          <w:bCs/>
          <w:sz w:val="20"/>
          <w:szCs w:val="20"/>
          <w:lang w:val="pl-PL"/>
        </w:rPr>
        <w:t xml:space="preserve"> </w:t>
      </w:r>
      <w:r w:rsidR="00651172" w:rsidRPr="00790F05">
        <w:rPr>
          <w:bCs/>
          <w:sz w:val="20"/>
          <w:szCs w:val="20"/>
          <w:lang w:val="pl-PL"/>
        </w:rPr>
        <w:t xml:space="preserve">grudnia </w:t>
      </w:r>
      <w:r w:rsidRPr="00790F05">
        <w:rPr>
          <w:bCs/>
          <w:sz w:val="20"/>
          <w:szCs w:val="20"/>
          <w:lang w:val="pl-PL"/>
        </w:rPr>
        <w:t>2011 r.</w:t>
      </w:r>
    </w:p>
    <w:p w:rsidR="00A61929" w:rsidRDefault="00A61929" w:rsidP="00A61929">
      <w:pPr>
        <w:pStyle w:val="BodyText2"/>
        <w:spacing w:line="240" w:lineRule="auto"/>
        <w:jc w:val="right"/>
        <w:rPr>
          <w:bCs/>
          <w:sz w:val="20"/>
          <w:szCs w:val="20"/>
          <w:lang w:val="pl-PL"/>
        </w:rPr>
      </w:pPr>
    </w:p>
    <w:p w:rsidR="007D1437" w:rsidRPr="00790F05" w:rsidRDefault="007D1437" w:rsidP="00A61929">
      <w:pPr>
        <w:pStyle w:val="BodyText2"/>
        <w:spacing w:line="240" w:lineRule="auto"/>
        <w:jc w:val="right"/>
        <w:rPr>
          <w:bCs/>
          <w:sz w:val="20"/>
          <w:szCs w:val="20"/>
          <w:lang w:val="pl-PL"/>
        </w:rPr>
      </w:pPr>
    </w:p>
    <w:p w:rsidR="00A61929" w:rsidRPr="00790F05" w:rsidRDefault="00A61929" w:rsidP="00A61929">
      <w:pPr>
        <w:pStyle w:val="BodyText2"/>
        <w:spacing w:line="240" w:lineRule="auto"/>
        <w:jc w:val="right"/>
        <w:rPr>
          <w:bCs/>
          <w:sz w:val="20"/>
          <w:szCs w:val="20"/>
          <w:lang w:val="pl-PL"/>
        </w:rPr>
      </w:pPr>
    </w:p>
    <w:p w:rsidR="0010024E" w:rsidRPr="00790F05" w:rsidRDefault="00A61929" w:rsidP="00A61929">
      <w:pPr>
        <w:pStyle w:val="BodyText2"/>
        <w:spacing w:line="240" w:lineRule="auto"/>
        <w:rPr>
          <w:bCs/>
          <w:sz w:val="20"/>
          <w:szCs w:val="20"/>
          <w:lang w:val="pl-PL"/>
        </w:rPr>
      </w:pPr>
      <w:r w:rsidRPr="00790F05">
        <w:rPr>
          <w:bCs/>
          <w:sz w:val="20"/>
          <w:szCs w:val="20"/>
          <w:lang w:val="pl-PL"/>
        </w:rPr>
        <w:t>Informacja prasowa</w:t>
      </w:r>
    </w:p>
    <w:p w:rsidR="00A61929" w:rsidRDefault="00A61929" w:rsidP="00A61929">
      <w:pPr>
        <w:pStyle w:val="BodyText2"/>
        <w:spacing w:line="240" w:lineRule="auto"/>
        <w:rPr>
          <w:b/>
          <w:bCs/>
          <w:sz w:val="20"/>
          <w:szCs w:val="20"/>
          <w:lang w:val="pl-PL"/>
        </w:rPr>
      </w:pPr>
    </w:p>
    <w:p w:rsidR="007D1437" w:rsidRPr="00790F05" w:rsidRDefault="007D1437" w:rsidP="00A61929">
      <w:pPr>
        <w:pStyle w:val="BodyText2"/>
        <w:spacing w:line="240" w:lineRule="auto"/>
        <w:rPr>
          <w:b/>
          <w:bCs/>
          <w:sz w:val="20"/>
          <w:szCs w:val="20"/>
          <w:lang w:val="pl-PL"/>
        </w:rPr>
      </w:pPr>
    </w:p>
    <w:p w:rsidR="00A61929" w:rsidRPr="00790F05" w:rsidRDefault="00A61929" w:rsidP="00A61929">
      <w:pPr>
        <w:pStyle w:val="BodyText2"/>
        <w:spacing w:line="240" w:lineRule="auto"/>
        <w:jc w:val="center"/>
        <w:rPr>
          <w:b/>
          <w:bCs/>
          <w:lang w:val="pl-PL"/>
        </w:rPr>
      </w:pPr>
    </w:p>
    <w:p w:rsidR="007C4DD7" w:rsidRPr="00790F05" w:rsidRDefault="007C4DD7" w:rsidP="006D30E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Polskie spółki giełdowe aktywnie przejmują inne firmy</w:t>
      </w:r>
      <w:r w:rsidR="009F2D02">
        <w:rPr>
          <w:rFonts w:ascii="Times New Roman" w:hAnsi="Times New Roman" w:cs="Times New Roman"/>
          <w:b/>
          <w:color w:val="FF0000"/>
          <w:sz w:val="36"/>
          <w:szCs w:val="36"/>
        </w:rPr>
        <w:t>,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lecz </w:t>
      </w:r>
      <w:r w:rsidR="006D30E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ukrywają przed akcjonariuszami i </w:t>
      </w:r>
      <w:proofErr w:type="gramStart"/>
      <w:r w:rsidR="006D30E3">
        <w:rPr>
          <w:rFonts w:ascii="Times New Roman" w:hAnsi="Times New Roman" w:cs="Times New Roman"/>
          <w:b/>
          <w:color w:val="FF0000"/>
          <w:sz w:val="36"/>
          <w:szCs w:val="36"/>
        </w:rPr>
        <w:t>rynkiem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co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właściwie </w:t>
      </w:r>
      <w:r w:rsidR="00DD05BB">
        <w:rPr>
          <w:rFonts w:ascii="Times New Roman" w:hAnsi="Times New Roman" w:cs="Times New Roman"/>
          <w:b/>
          <w:color w:val="FF0000"/>
          <w:sz w:val="36"/>
          <w:szCs w:val="36"/>
        </w:rPr>
        <w:t>kupują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E3182A" w:rsidRPr="00790F05" w:rsidRDefault="00E3182A" w:rsidP="004079D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3182A" w:rsidRPr="00790F05" w:rsidRDefault="00F66042" w:rsidP="004079D0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90F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Raport KPMG:</w:t>
      </w:r>
      <w:r w:rsidR="00E3182A" w:rsidRPr="00790F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„</w:t>
      </w:r>
      <w:r w:rsidR="009925AF" w:rsidRPr="00790F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Nie kupuj kota w worku. Badanie branżowe transakcji przejęć pod kątem alokacji ceny nabycia”</w:t>
      </w:r>
    </w:p>
    <w:p w:rsidR="007B1340" w:rsidRDefault="007B1340" w:rsidP="00ED08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870" w:rsidRDefault="00100B78" w:rsidP="004079D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Każda transakcja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M&amp;A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 istotny wpływ na sprawozdania finansowe</w:t>
      </w:r>
      <w:r w:rsidR="00EA2E02">
        <w:rPr>
          <w:rFonts w:ascii="Times New Roman" w:hAnsi="Times New Roman" w:cs="Times New Roman"/>
          <w:b/>
          <w:sz w:val="28"/>
          <w:szCs w:val="28"/>
        </w:rPr>
        <w:t xml:space="preserve"> kupującego</w:t>
      </w:r>
      <w:r w:rsidR="005172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7B6B">
        <w:rPr>
          <w:rFonts w:ascii="Times New Roman" w:hAnsi="Times New Roman" w:cs="Times New Roman"/>
          <w:b/>
          <w:sz w:val="28"/>
          <w:szCs w:val="28"/>
        </w:rPr>
        <w:t xml:space="preserve">co wynika </w:t>
      </w:r>
      <w:r w:rsidR="009D0490">
        <w:rPr>
          <w:rFonts w:ascii="Times New Roman" w:hAnsi="Times New Roman" w:cs="Times New Roman"/>
          <w:b/>
          <w:sz w:val="28"/>
          <w:szCs w:val="28"/>
        </w:rPr>
        <w:t>z konieczności przeprowadzenia</w:t>
      </w:r>
      <w:r>
        <w:rPr>
          <w:rFonts w:ascii="Times New Roman" w:hAnsi="Times New Roman" w:cs="Times New Roman"/>
          <w:b/>
          <w:sz w:val="28"/>
          <w:szCs w:val="28"/>
        </w:rPr>
        <w:t xml:space="preserve"> tzw. „alokacji ceny nabycia”</w:t>
      </w:r>
      <w:r w:rsidR="0051725B">
        <w:rPr>
          <w:rFonts w:ascii="Times New Roman" w:hAnsi="Times New Roman" w:cs="Times New Roman"/>
          <w:b/>
          <w:sz w:val="28"/>
          <w:szCs w:val="28"/>
        </w:rPr>
        <w:t xml:space="preserve">, wiążącej się z </w:t>
      </w:r>
      <w:r>
        <w:rPr>
          <w:rFonts w:ascii="Times New Roman" w:hAnsi="Times New Roman" w:cs="Times New Roman"/>
          <w:b/>
          <w:sz w:val="28"/>
          <w:szCs w:val="28"/>
        </w:rPr>
        <w:t xml:space="preserve">ujawnieniem </w:t>
      </w:r>
      <w:r w:rsidR="0051725B">
        <w:rPr>
          <w:rFonts w:ascii="Times New Roman" w:hAnsi="Times New Roman" w:cs="Times New Roman"/>
          <w:b/>
          <w:sz w:val="28"/>
          <w:szCs w:val="28"/>
        </w:rPr>
        <w:t xml:space="preserve">w sprawozdaniach finansowych </w:t>
      </w:r>
      <w:r>
        <w:rPr>
          <w:rFonts w:ascii="Times New Roman" w:hAnsi="Times New Roman" w:cs="Times New Roman"/>
          <w:b/>
          <w:sz w:val="28"/>
          <w:szCs w:val="28"/>
        </w:rPr>
        <w:t xml:space="preserve">wartości firmy oraz innych wartości niematerialnych i prawnych. </w:t>
      </w:r>
      <w:r w:rsidR="00737B6B">
        <w:rPr>
          <w:rFonts w:ascii="Times New Roman" w:hAnsi="Times New Roman" w:cs="Times New Roman"/>
          <w:b/>
          <w:sz w:val="28"/>
          <w:szCs w:val="28"/>
        </w:rPr>
        <w:t xml:space="preserve">Praktyka ta jest powszechnie stosowana na rynkach zagranicznych. </w:t>
      </w:r>
      <w:r w:rsidR="007D1437">
        <w:rPr>
          <w:rFonts w:ascii="Times New Roman" w:hAnsi="Times New Roman" w:cs="Times New Roman"/>
          <w:b/>
          <w:sz w:val="28"/>
          <w:szCs w:val="28"/>
        </w:rPr>
        <w:t>Polskie spółki giełdowe aktywnie przejmują inne firmy, ale niestety n</w:t>
      </w:r>
      <w:r w:rsidR="00434279">
        <w:rPr>
          <w:rFonts w:ascii="Times New Roman" w:hAnsi="Times New Roman" w:cs="Times New Roman"/>
          <w:b/>
          <w:sz w:val="28"/>
          <w:szCs w:val="28"/>
        </w:rPr>
        <w:t xml:space="preserve">ie przekłada się </w:t>
      </w:r>
      <w:proofErr w:type="gramStart"/>
      <w:r w:rsidR="00434279">
        <w:rPr>
          <w:rFonts w:ascii="Times New Roman" w:hAnsi="Times New Roman" w:cs="Times New Roman"/>
          <w:b/>
          <w:sz w:val="28"/>
          <w:szCs w:val="28"/>
        </w:rPr>
        <w:t>to na jakość</w:t>
      </w:r>
      <w:proofErr w:type="gramEnd"/>
      <w:r w:rsidR="00434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437">
        <w:rPr>
          <w:rFonts w:ascii="Times New Roman" w:hAnsi="Times New Roman" w:cs="Times New Roman"/>
          <w:b/>
          <w:sz w:val="28"/>
          <w:szCs w:val="28"/>
        </w:rPr>
        <w:t xml:space="preserve">sporządzanych przez nie sprawozdań. </w:t>
      </w:r>
      <w:r>
        <w:rPr>
          <w:rFonts w:ascii="Times New Roman" w:hAnsi="Times New Roman" w:cs="Times New Roman"/>
          <w:b/>
          <w:sz w:val="28"/>
          <w:szCs w:val="28"/>
        </w:rPr>
        <w:t xml:space="preserve">W Polsce </w:t>
      </w:r>
      <w:r w:rsidR="000D4962">
        <w:rPr>
          <w:rFonts w:ascii="Times New Roman" w:hAnsi="Times New Roman" w:cs="Times New Roman"/>
          <w:b/>
          <w:sz w:val="28"/>
          <w:szCs w:val="28"/>
        </w:rPr>
        <w:t xml:space="preserve">można </w:t>
      </w:r>
      <w:r w:rsidR="0051725B">
        <w:rPr>
          <w:rFonts w:ascii="Times New Roman" w:hAnsi="Times New Roman" w:cs="Times New Roman"/>
          <w:b/>
          <w:sz w:val="28"/>
          <w:szCs w:val="28"/>
        </w:rPr>
        <w:t xml:space="preserve">zaobserwować </w:t>
      </w:r>
      <w:r>
        <w:rPr>
          <w:rFonts w:ascii="Times New Roman" w:hAnsi="Times New Roman" w:cs="Times New Roman"/>
          <w:b/>
          <w:sz w:val="28"/>
          <w:szCs w:val="28"/>
        </w:rPr>
        <w:t>daleko idące uproszczenia</w:t>
      </w:r>
      <w:r w:rsidR="0051725B">
        <w:rPr>
          <w:rFonts w:ascii="Times New Roman" w:hAnsi="Times New Roman" w:cs="Times New Roman"/>
          <w:b/>
          <w:sz w:val="28"/>
          <w:szCs w:val="28"/>
        </w:rPr>
        <w:t xml:space="preserve"> w tym zakresie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725B">
        <w:rPr>
          <w:rFonts w:ascii="Times New Roman" w:hAnsi="Times New Roman" w:cs="Times New Roman"/>
          <w:b/>
          <w:sz w:val="28"/>
          <w:szCs w:val="28"/>
        </w:rPr>
        <w:t xml:space="preserve">czasami </w:t>
      </w:r>
      <w:r>
        <w:rPr>
          <w:rFonts w:ascii="Times New Roman" w:hAnsi="Times New Roman" w:cs="Times New Roman"/>
          <w:b/>
          <w:sz w:val="28"/>
          <w:szCs w:val="28"/>
        </w:rPr>
        <w:t xml:space="preserve">wypaczające prawidłowy obraz transakcji. </w:t>
      </w:r>
    </w:p>
    <w:p w:rsidR="009F2D02" w:rsidRPr="00790F05" w:rsidRDefault="009F2D02" w:rsidP="004079D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C4DD7" w:rsidRDefault="007C4DD7" w:rsidP="005412F1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Każda transakcja </w:t>
      </w:r>
      <w:proofErr w:type="spellStart"/>
      <w:r>
        <w:rPr>
          <w:rFonts w:ascii="Times New Roman" w:hAnsi="Times New Roman" w:cs="Times New Roman"/>
          <w:b/>
          <w:color w:val="FF0000"/>
        </w:rPr>
        <w:t>M&amp;A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ma </w:t>
      </w:r>
      <w:r w:rsidRPr="007C4DD7">
        <w:rPr>
          <w:rFonts w:ascii="Times New Roman" w:hAnsi="Times New Roman" w:cs="Times New Roman"/>
          <w:b/>
          <w:color w:val="FF0000"/>
        </w:rPr>
        <w:t>istotny wpływ na sprawozdania finansowe kupującego</w:t>
      </w:r>
    </w:p>
    <w:p w:rsidR="000D4962" w:rsidRDefault="007C4DD7" w:rsidP="000D4962">
      <w:pPr>
        <w:jc w:val="both"/>
        <w:rPr>
          <w:rFonts w:ascii="Times New Roman" w:hAnsi="Times New Roman" w:cs="Times New Roman"/>
        </w:rPr>
      </w:pPr>
      <w:r w:rsidRPr="007C4DD7">
        <w:rPr>
          <w:rFonts w:ascii="Times New Roman" w:hAnsi="Times New Roman" w:cs="Times New Roman"/>
        </w:rPr>
        <w:t xml:space="preserve">Jedyną dopuszczalną metodą zaksięgowania transakcji </w:t>
      </w:r>
      <w:proofErr w:type="spellStart"/>
      <w:r w:rsidRPr="007C4DD7">
        <w:rPr>
          <w:rFonts w:ascii="Times New Roman" w:hAnsi="Times New Roman" w:cs="Times New Roman"/>
        </w:rPr>
        <w:t>M&amp;A</w:t>
      </w:r>
      <w:proofErr w:type="spellEnd"/>
      <w:r w:rsidRPr="007C4DD7">
        <w:rPr>
          <w:rFonts w:ascii="Times New Roman" w:hAnsi="Times New Roman" w:cs="Times New Roman"/>
        </w:rPr>
        <w:t xml:space="preserve"> jest tzw. metoda nabycia (ang. </w:t>
      </w:r>
      <w:proofErr w:type="spellStart"/>
      <w:r w:rsidRPr="002508E5">
        <w:rPr>
          <w:rFonts w:ascii="Times New Roman" w:hAnsi="Times New Roman" w:cs="Times New Roman"/>
          <w:i/>
        </w:rPr>
        <w:t>acquisition</w:t>
      </w:r>
      <w:proofErr w:type="spellEnd"/>
      <w:r w:rsidRPr="002508E5">
        <w:rPr>
          <w:rFonts w:ascii="Times New Roman" w:hAnsi="Times New Roman" w:cs="Times New Roman"/>
          <w:i/>
        </w:rPr>
        <w:t xml:space="preserve"> metod</w:t>
      </w:r>
      <w:r w:rsidRPr="007C4D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7C4DD7">
        <w:rPr>
          <w:rFonts w:ascii="Times New Roman" w:hAnsi="Times New Roman" w:cs="Times New Roman"/>
        </w:rPr>
        <w:t xml:space="preserve">W wyniku </w:t>
      </w:r>
      <w:r w:rsidR="009F2D02">
        <w:rPr>
          <w:rFonts w:ascii="Times New Roman" w:hAnsi="Times New Roman" w:cs="Times New Roman"/>
        </w:rPr>
        <w:t xml:space="preserve">jej </w:t>
      </w:r>
      <w:r w:rsidRPr="007C4DD7">
        <w:rPr>
          <w:rFonts w:ascii="Times New Roman" w:hAnsi="Times New Roman" w:cs="Times New Roman"/>
        </w:rPr>
        <w:t>zastosowania, w skonsolidowanych aktywach pojawiają się niewykazywane</w:t>
      </w:r>
      <w:r w:rsidR="009F2D02">
        <w:rPr>
          <w:rFonts w:ascii="Times New Roman" w:hAnsi="Times New Roman" w:cs="Times New Roman"/>
        </w:rPr>
        <w:t xml:space="preserve"> </w:t>
      </w:r>
      <w:r w:rsidR="009F2D02" w:rsidRPr="007C4DD7">
        <w:rPr>
          <w:rFonts w:ascii="Times New Roman" w:hAnsi="Times New Roman" w:cs="Times New Roman"/>
        </w:rPr>
        <w:t>dotychczas</w:t>
      </w:r>
      <w:r w:rsidR="009F2D02" w:rsidRPr="007C4DD7" w:rsidDel="009F2D02">
        <w:rPr>
          <w:rFonts w:ascii="Times New Roman" w:hAnsi="Times New Roman" w:cs="Times New Roman"/>
        </w:rPr>
        <w:t xml:space="preserve"> </w:t>
      </w:r>
      <w:r w:rsidRPr="007C4DD7">
        <w:rPr>
          <w:rFonts w:ascii="Times New Roman" w:hAnsi="Times New Roman" w:cs="Times New Roman"/>
        </w:rPr>
        <w:t>wartości niematerialne, takie jak: wartość firmy, znaki towarowe, kontrakty, relacje z kli</w:t>
      </w:r>
      <w:r>
        <w:rPr>
          <w:rFonts w:ascii="Times New Roman" w:hAnsi="Times New Roman" w:cs="Times New Roman"/>
        </w:rPr>
        <w:t>entami, patenty czy technologie.</w:t>
      </w:r>
      <w:r w:rsidR="00434279">
        <w:rPr>
          <w:rFonts w:ascii="Times New Roman" w:hAnsi="Times New Roman" w:cs="Times New Roman"/>
        </w:rPr>
        <w:t xml:space="preserve"> </w:t>
      </w:r>
      <w:r w:rsidR="009F2D02">
        <w:rPr>
          <w:rFonts w:ascii="Times New Roman" w:hAnsi="Times New Roman" w:cs="Times New Roman"/>
        </w:rPr>
        <w:t>Jak wskazuje raport KPMG, w</w:t>
      </w:r>
      <w:r w:rsidR="000D4962" w:rsidRPr="007C4DD7">
        <w:rPr>
          <w:rFonts w:ascii="Times New Roman" w:hAnsi="Times New Roman" w:cs="Times New Roman"/>
        </w:rPr>
        <w:t>artość aktywów niematerialnych</w:t>
      </w:r>
      <w:r w:rsidR="009F2D02">
        <w:rPr>
          <w:rFonts w:ascii="Times New Roman" w:hAnsi="Times New Roman" w:cs="Times New Roman"/>
        </w:rPr>
        <w:t xml:space="preserve">, </w:t>
      </w:r>
      <w:r w:rsidR="000D4962" w:rsidRPr="007C4DD7">
        <w:rPr>
          <w:rFonts w:ascii="Times New Roman" w:hAnsi="Times New Roman" w:cs="Times New Roman"/>
        </w:rPr>
        <w:t xml:space="preserve">ujawnianych w wyniku transakcji </w:t>
      </w:r>
      <w:proofErr w:type="spellStart"/>
      <w:r w:rsidR="000D4962" w:rsidRPr="007C4DD7">
        <w:rPr>
          <w:rFonts w:ascii="Times New Roman" w:hAnsi="Times New Roman" w:cs="Times New Roman"/>
        </w:rPr>
        <w:t>M&amp;A</w:t>
      </w:r>
      <w:proofErr w:type="spellEnd"/>
      <w:r w:rsidR="009F2D02">
        <w:rPr>
          <w:rFonts w:ascii="Times New Roman" w:hAnsi="Times New Roman" w:cs="Times New Roman"/>
        </w:rPr>
        <w:t>,</w:t>
      </w:r>
      <w:r w:rsidR="000D4962" w:rsidRPr="007C4DD7">
        <w:rPr>
          <w:rFonts w:ascii="Times New Roman" w:hAnsi="Times New Roman" w:cs="Times New Roman"/>
        </w:rPr>
        <w:t xml:space="preserve"> może się istotnie zmieniać w przyszłości – jedne są amortyzowane, inne są poddawane testom </w:t>
      </w:r>
      <w:r w:rsidR="000D4962">
        <w:rPr>
          <w:rFonts w:ascii="Times New Roman" w:hAnsi="Times New Roman" w:cs="Times New Roman"/>
        </w:rPr>
        <w:t>pod kątem utraty</w:t>
      </w:r>
      <w:r w:rsidR="000D4962" w:rsidRPr="007C4DD7">
        <w:rPr>
          <w:rFonts w:ascii="Times New Roman" w:hAnsi="Times New Roman" w:cs="Times New Roman"/>
        </w:rPr>
        <w:t xml:space="preserve"> </w:t>
      </w:r>
      <w:proofErr w:type="gramStart"/>
      <w:r w:rsidR="000D4962" w:rsidRPr="007C4DD7">
        <w:rPr>
          <w:rFonts w:ascii="Times New Roman" w:hAnsi="Times New Roman" w:cs="Times New Roman"/>
        </w:rPr>
        <w:t>wartości</w:t>
      </w:r>
      <w:r w:rsidR="000D4962">
        <w:rPr>
          <w:rFonts w:ascii="Times New Roman" w:hAnsi="Times New Roman" w:cs="Times New Roman"/>
        </w:rPr>
        <w:t xml:space="preserve">. </w:t>
      </w:r>
      <w:proofErr w:type="gramEnd"/>
      <w:r w:rsidR="000D4962" w:rsidRPr="007C4DD7">
        <w:rPr>
          <w:rFonts w:ascii="Times New Roman" w:hAnsi="Times New Roman" w:cs="Times New Roman"/>
        </w:rPr>
        <w:t>Często zdarza się</w:t>
      </w:r>
      <w:r w:rsidR="00614770">
        <w:rPr>
          <w:rFonts w:ascii="Times New Roman" w:hAnsi="Times New Roman" w:cs="Times New Roman"/>
        </w:rPr>
        <w:t xml:space="preserve"> też</w:t>
      </w:r>
      <w:r w:rsidR="000D4962" w:rsidRPr="007C4DD7">
        <w:rPr>
          <w:rFonts w:ascii="Times New Roman" w:hAnsi="Times New Roman" w:cs="Times New Roman"/>
        </w:rPr>
        <w:t>, że odpisy z tytułu utraty wartości aktywów niematerialnych pogarszają przyszłe wyniki finansowe spółki przejmującej</w:t>
      </w:r>
      <w:r w:rsidR="00614770">
        <w:rPr>
          <w:rFonts w:ascii="Times New Roman" w:hAnsi="Times New Roman" w:cs="Times New Roman"/>
        </w:rPr>
        <w:t>.</w:t>
      </w:r>
    </w:p>
    <w:p w:rsidR="007C4DD7" w:rsidRDefault="007C4DD7" w:rsidP="007C4DD7">
      <w:pPr>
        <w:jc w:val="both"/>
        <w:rPr>
          <w:rFonts w:ascii="Times New Roman" w:hAnsi="Times New Roman" w:cs="Times New Roman"/>
        </w:rPr>
      </w:pPr>
    </w:p>
    <w:p w:rsidR="008F668E" w:rsidRDefault="007C4DD7">
      <w:pPr>
        <w:jc w:val="center"/>
        <w:rPr>
          <w:rFonts w:ascii="Times New Roman" w:hAnsi="Times New Roman" w:cs="Times New Roman"/>
        </w:rPr>
      </w:pPr>
      <w:r w:rsidRPr="007C4DD7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2696441" cy="3532504"/>
            <wp:effectExtent l="19050" t="0" r="8659" b="0"/>
            <wp:docPr id="1" name="Picture 4" descr="C:\Users\mtyszer\Desktop\tab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tyszer\Desktop\tabelka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781" cy="353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68E" w:rsidRDefault="006639B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434279">
        <w:rPr>
          <w:rFonts w:ascii="Times New Roman" w:hAnsi="Times New Roman" w:cs="Times New Roman"/>
          <w:sz w:val="16"/>
          <w:szCs w:val="16"/>
        </w:rPr>
        <w:t>Ź</w:t>
      </w:r>
      <w:r w:rsidRPr="006639BA">
        <w:rPr>
          <w:rFonts w:ascii="Times New Roman" w:hAnsi="Times New Roman" w:cs="Times New Roman"/>
          <w:sz w:val="16"/>
          <w:szCs w:val="16"/>
        </w:rPr>
        <w:t xml:space="preserve">ródło: Raport KPMG: </w:t>
      </w:r>
      <w:r w:rsidRPr="006639BA">
        <w:rPr>
          <w:rFonts w:ascii="Times New Roman" w:hAnsi="Times New Roman" w:cs="Times New Roman"/>
          <w:i/>
          <w:sz w:val="16"/>
          <w:szCs w:val="16"/>
        </w:rPr>
        <w:t>Nie kupuj kota w worku. Badanie branżowe transakcji przejęć pod kątem alokacji ceny nabycia</w:t>
      </w:r>
    </w:p>
    <w:p w:rsidR="008F668E" w:rsidRDefault="008F668E">
      <w:pPr>
        <w:jc w:val="center"/>
        <w:rPr>
          <w:rFonts w:ascii="Times New Roman" w:hAnsi="Times New Roman" w:cs="Times New Roman"/>
        </w:rPr>
      </w:pPr>
    </w:p>
    <w:p w:rsidR="007C4DD7" w:rsidRPr="00DD05BB" w:rsidRDefault="00DD05BB" w:rsidP="007C4DD7">
      <w:pPr>
        <w:jc w:val="both"/>
        <w:rPr>
          <w:rFonts w:ascii="Times New Roman" w:hAnsi="Times New Roman" w:cs="Times New Roman"/>
          <w:b/>
          <w:color w:val="FF0000"/>
        </w:rPr>
      </w:pPr>
      <w:r w:rsidRPr="00DD05BB">
        <w:rPr>
          <w:rFonts w:ascii="Times New Roman" w:hAnsi="Times New Roman" w:cs="Times New Roman"/>
          <w:b/>
          <w:color w:val="FF0000"/>
        </w:rPr>
        <w:t xml:space="preserve">Na rynkach zagranicznych ponad 50% ceny zapłaconej w transakcji </w:t>
      </w:r>
      <w:proofErr w:type="spellStart"/>
      <w:r w:rsidRPr="00DD05BB">
        <w:rPr>
          <w:rFonts w:ascii="Times New Roman" w:hAnsi="Times New Roman" w:cs="Times New Roman"/>
          <w:b/>
          <w:color w:val="FF0000"/>
        </w:rPr>
        <w:t>M&amp;A</w:t>
      </w:r>
      <w:proofErr w:type="spellEnd"/>
      <w:r w:rsidRPr="00DD05BB">
        <w:rPr>
          <w:rFonts w:ascii="Times New Roman" w:hAnsi="Times New Roman" w:cs="Times New Roman"/>
          <w:b/>
          <w:color w:val="FF0000"/>
        </w:rPr>
        <w:t xml:space="preserve"> przypisuje się do wartości niematerialnych</w:t>
      </w:r>
    </w:p>
    <w:p w:rsidR="007C4DD7" w:rsidRDefault="00614770" w:rsidP="007C4D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Wyniki </w:t>
      </w:r>
      <w:r w:rsidR="000E5325">
        <w:rPr>
          <w:rFonts w:ascii="Times New Roman" w:hAnsi="Times New Roman" w:cs="Times New Roman"/>
        </w:rPr>
        <w:t>badania</w:t>
      </w:r>
      <w:r>
        <w:rPr>
          <w:rFonts w:ascii="Times New Roman" w:hAnsi="Times New Roman" w:cs="Times New Roman"/>
        </w:rPr>
        <w:t xml:space="preserve"> KPMG dla rynków zagranicznych </w:t>
      </w:r>
      <w:r w:rsidR="000E5325">
        <w:rPr>
          <w:rFonts w:ascii="Times New Roman" w:hAnsi="Times New Roman" w:cs="Times New Roman"/>
        </w:rPr>
        <w:t>wskazują</w:t>
      </w:r>
      <w:r>
        <w:rPr>
          <w:rFonts w:ascii="Times New Roman" w:hAnsi="Times New Roman" w:cs="Times New Roman"/>
        </w:rPr>
        <w:t>, że</w:t>
      </w:r>
      <w:r w:rsidR="009D0490">
        <w:rPr>
          <w:rFonts w:ascii="Times New Roman" w:hAnsi="Times New Roman" w:cs="Times New Roman"/>
        </w:rPr>
        <w:t xml:space="preserve"> w</w:t>
      </w:r>
      <w:r w:rsidR="00DD05BB">
        <w:rPr>
          <w:rFonts w:ascii="Times New Roman" w:hAnsi="Times New Roman" w:cs="Times New Roman"/>
        </w:rPr>
        <w:t xml:space="preserve"> zależności od branży, </w:t>
      </w:r>
      <w:r w:rsidR="009D0490">
        <w:rPr>
          <w:rFonts w:ascii="Times New Roman" w:hAnsi="Times New Roman" w:cs="Times New Roman"/>
        </w:rPr>
        <w:t xml:space="preserve">nawet </w:t>
      </w:r>
      <w:r w:rsidR="000E5325">
        <w:rPr>
          <w:rFonts w:ascii="Times New Roman" w:hAnsi="Times New Roman" w:cs="Times New Roman"/>
        </w:rPr>
        <w:t xml:space="preserve">do </w:t>
      </w:r>
      <w:r w:rsidR="009D0490">
        <w:rPr>
          <w:rFonts w:ascii="Times New Roman" w:hAnsi="Times New Roman" w:cs="Times New Roman"/>
        </w:rPr>
        <w:t xml:space="preserve">70% </w:t>
      </w:r>
      <w:r w:rsidR="00DD05BB">
        <w:rPr>
          <w:rFonts w:ascii="Times New Roman" w:hAnsi="Times New Roman" w:cs="Times New Roman"/>
        </w:rPr>
        <w:t>wartości transakcji przypisywane jest do wartości firmy</w:t>
      </w:r>
      <w:r w:rsidR="00105034">
        <w:rPr>
          <w:rFonts w:ascii="Times New Roman" w:hAnsi="Times New Roman" w:cs="Times New Roman"/>
        </w:rPr>
        <w:t>.</w:t>
      </w:r>
    </w:p>
    <w:p w:rsidR="008F668E" w:rsidRDefault="006639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9BA">
        <w:rPr>
          <w:rFonts w:ascii="Times New Roman" w:hAnsi="Times New Roman" w:cs="Times New Roman"/>
          <w:b/>
          <w:sz w:val="20"/>
          <w:szCs w:val="20"/>
        </w:rPr>
        <w:t>Procentowa alokacja ceny nabycia do wartości firmy w poszczególnych branżach</w:t>
      </w:r>
    </w:p>
    <w:p w:rsidR="008F668E" w:rsidRDefault="00DD5438">
      <w:pPr>
        <w:jc w:val="center"/>
        <w:rPr>
          <w:rFonts w:ascii="Times New Roman" w:hAnsi="Times New Roman" w:cs="Times New Roman"/>
          <w:sz w:val="16"/>
          <w:szCs w:val="16"/>
        </w:rPr>
      </w:pPr>
      <w:r w:rsidRPr="00DD5438">
        <w:rPr>
          <w:noProof/>
          <w:lang w:eastAsia="pl-PL"/>
        </w:rPr>
        <w:drawing>
          <wp:inline distT="0" distB="0" distL="0" distR="0">
            <wp:extent cx="4587179" cy="2742232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179" cy="274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325">
        <w:rPr>
          <w:rFonts w:ascii="Times New Roman" w:hAnsi="Times New Roman" w:cs="Times New Roman"/>
          <w:sz w:val="16"/>
          <w:szCs w:val="16"/>
        </w:rPr>
        <w:br/>
      </w:r>
      <w:r w:rsidR="000D4962">
        <w:rPr>
          <w:rFonts w:ascii="Times New Roman" w:hAnsi="Times New Roman" w:cs="Times New Roman"/>
          <w:sz w:val="16"/>
          <w:szCs w:val="16"/>
        </w:rPr>
        <w:t>*Ź</w:t>
      </w:r>
      <w:r w:rsidR="000D4962" w:rsidRPr="000D4962">
        <w:rPr>
          <w:rFonts w:ascii="Times New Roman" w:hAnsi="Times New Roman" w:cs="Times New Roman"/>
          <w:sz w:val="16"/>
          <w:szCs w:val="16"/>
        </w:rPr>
        <w:t xml:space="preserve">ródło: Raport KPMG: </w:t>
      </w:r>
      <w:r w:rsidR="000D4962" w:rsidRPr="000D4962">
        <w:rPr>
          <w:rFonts w:ascii="Times New Roman" w:hAnsi="Times New Roman" w:cs="Times New Roman"/>
          <w:i/>
          <w:sz w:val="16"/>
          <w:szCs w:val="16"/>
        </w:rPr>
        <w:t>Nie kupuj kota w worku. Badanie branżowe transakcji przejęć pod kątem alokacji ceny nabycia</w:t>
      </w:r>
    </w:p>
    <w:p w:rsidR="00DD05BB" w:rsidRDefault="00DD05BB" w:rsidP="007C4D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Zgodnie z obowiązującymi wymogami konieczne jest ujawnienie i zaksięgowanie nabytych wartości niematerialnych. </w:t>
      </w:r>
      <w:r w:rsidR="00614770">
        <w:rPr>
          <w:rFonts w:ascii="Times New Roman" w:hAnsi="Times New Roman" w:cs="Times New Roman"/>
        </w:rPr>
        <w:t>W</w:t>
      </w:r>
      <w:r w:rsidR="009D0490">
        <w:rPr>
          <w:rFonts w:ascii="Times New Roman" w:hAnsi="Times New Roman" w:cs="Times New Roman"/>
        </w:rPr>
        <w:t xml:space="preserve"> zależności od branży</w:t>
      </w:r>
      <w:r w:rsidR="00614770">
        <w:rPr>
          <w:rFonts w:ascii="Times New Roman" w:hAnsi="Times New Roman" w:cs="Times New Roman"/>
        </w:rPr>
        <w:t xml:space="preserve"> ich udział</w:t>
      </w:r>
      <w:r w:rsidR="009D0490">
        <w:rPr>
          <w:rFonts w:ascii="Times New Roman" w:hAnsi="Times New Roman" w:cs="Times New Roman"/>
        </w:rPr>
        <w:t xml:space="preserve"> może wynosić od 6% do nawet 57%.</w:t>
      </w:r>
    </w:p>
    <w:p w:rsidR="008F668E" w:rsidRDefault="006639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9BA">
        <w:rPr>
          <w:rFonts w:ascii="Times New Roman" w:hAnsi="Times New Roman" w:cs="Times New Roman"/>
          <w:b/>
          <w:sz w:val="20"/>
          <w:szCs w:val="20"/>
        </w:rPr>
        <w:t>Procentowa alokacja ceny nabycia do aktywów niematerialnych w poszczególnych branżach</w:t>
      </w:r>
    </w:p>
    <w:p w:rsidR="008F668E" w:rsidRDefault="00DD5438">
      <w:pPr>
        <w:jc w:val="center"/>
        <w:rPr>
          <w:rFonts w:ascii="Times New Roman" w:hAnsi="Times New Roman" w:cs="Times New Roman"/>
        </w:rPr>
      </w:pPr>
      <w:r w:rsidRPr="00DD5438">
        <w:rPr>
          <w:noProof/>
          <w:lang w:eastAsia="pl-PL"/>
        </w:rPr>
        <w:drawing>
          <wp:inline distT="0" distB="0" distL="0" distR="0">
            <wp:extent cx="4248264" cy="2608465"/>
            <wp:effectExtent l="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264" cy="260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62" w:rsidRDefault="000D4962" w:rsidP="000D496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D4962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0D4962">
        <w:rPr>
          <w:rFonts w:ascii="Times New Roman" w:hAnsi="Times New Roman" w:cs="Times New Roman"/>
          <w:sz w:val="16"/>
          <w:szCs w:val="16"/>
        </w:rPr>
        <w:t>Żródło</w:t>
      </w:r>
      <w:proofErr w:type="spellEnd"/>
      <w:r w:rsidRPr="000D4962">
        <w:rPr>
          <w:rFonts w:ascii="Times New Roman" w:hAnsi="Times New Roman" w:cs="Times New Roman"/>
          <w:sz w:val="16"/>
          <w:szCs w:val="16"/>
        </w:rPr>
        <w:t xml:space="preserve">: Raport KPMG: </w:t>
      </w:r>
      <w:r w:rsidRPr="000D4962">
        <w:rPr>
          <w:rFonts w:ascii="Times New Roman" w:hAnsi="Times New Roman" w:cs="Times New Roman"/>
          <w:i/>
          <w:sz w:val="16"/>
          <w:szCs w:val="16"/>
        </w:rPr>
        <w:t>Nie kupuj kota w worku. Badanie branżowe transakcji przejęć pod kątem alokacji ceny nabycia</w:t>
      </w:r>
    </w:p>
    <w:p w:rsidR="00DD05BB" w:rsidRDefault="009D0490" w:rsidP="00DD05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badania KPMG</w:t>
      </w:r>
      <w:r w:rsidR="004342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34279" w:rsidRPr="00DD05BB">
        <w:rPr>
          <w:rFonts w:ascii="Times New Roman" w:hAnsi="Times New Roman" w:cs="Times New Roman"/>
        </w:rPr>
        <w:t>w ramach tej samej branży</w:t>
      </w:r>
      <w:r w:rsidR="004342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zaobserwowano</w:t>
      </w:r>
      <w:r w:rsidR="00DD05BB" w:rsidRPr="00DD05BB">
        <w:rPr>
          <w:rFonts w:ascii="Times New Roman" w:hAnsi="Times New Roman" w:cs="Times New Roman"/>
        </w:rPr>
        <w:t xml:space="preserve"> podobieństwa, które wynikają z kluczowych czynników tworzących wartość specyficznych dla danego sektora gospodarki (ang. </w:t>
      </w:r>
      <w:proofErr w:type="spellStart"/>
      <w:r w:rsidR="00DD05BB" w:rsidRPr="00DD05BB">
        <w:rPr>
          <w:rFonts w:ascii="Times New Roman" w:hAnsi="Times New Roman" w:cs="Times New Roman"/>
        </w:rPr>
        <w:t>key</w:t>
      </w:r>
      <w:proofErr w:type="spellEnd"/>
      <w:r w:rsidR="00DD05BB" w:rsidRPr="00DD05BB">
        <w:rPr>
          <w:rFonts w:ascii="Times New Roman" w:hAnsi="Times New Roman" w:cs="Times New Roman"/>
        </w:rPr>
        <w:t xml:space="preserve"> </w:t>
      </w:r>
      <w:proofErr w:type="spellStart"/>
      <w:r w:rsidR="00DD05BB" w:rsidRPr="00DD05BB">
        <w:rPr>
          <w:rFonts w:ascii="Times New Roman" w:hAnsi="Times New Roman" w:cs="Times New Roman"/>
        </w:rPr>
        <w:t>value</w:t>
      </w:r>
      <w:proofErr w:type="spellEnd"/>
      <w:r w:rsidR="00DD05BB" w:rsidRPr="00DD05BB">
        <w:rPr>
          <w:rFonts w:ascii="Times New Roman" w:hAnsi="Times New Roman" w:cs="Times New Roman"/>
        </w:rPr>
        <w:t xml:space="preserve"> </w:t>
      </w:r>
      <w:proofErr w:type="spellStart"/>
      <w:r w:rsidR="00DD05BB" w:rsidRPr="00DD05BB">
        <w:rPr>
          <w:rFonts w:ascii="Times New Roman" w:hAnsi="Times New Roman" w:cs="Times New Roman"/>
        </w:rPr>
        <w:t>drivers</w:t>
      </w:r>
      <w:proofErr w:type="spellEnd"/>
      <w:r w:rsidR="00DD05BB" w:rsidRPr="00DD05BB">
        <w:rPr>
          <w:rFonts w:ascii="Times New Roman" w:hAnsi="Times New Roman" w:cs="Times New Roman"/>
        </w:rPr>
        <w:t>)</w:t>
      </w:r>
      <w:r w:rsidR="00DD05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Co istotne, na rynkach zagranicznych s</w:t>
      </w:r>
      <w:r w:rsidR="00DD05BB" w:rsidRPr="00DD05BB">
        <w:rPr>
          <w:rFonts w:ascii="Times New Roman" w:hAnsi="Times New Roman" w:cs="Times New Roman"/>
        </w:rPr>
        <w:t xml:space="preserve">tandardem jest szczegółowe ujawnienie procesu alokacji ceny nabycia oraz wyceny wartości niematerialnych w notach do sprawozdań </w:t>
      </w:r>
      <w:proofErr w:type="gramStart"/>
      <w:r w:rsidR="00DD05BB" w:rsidRPr="00DD05BB">
        <w:rPr>
          <w:rFonts w:ascii="Times New Roman" w:hAnsi="Times New Roman" w:cs="Times New Roman"/>
        </w:rPr>
        <w:t>finansowych</w:t>
      </w:r>
      <w:r w:rsidR="00547591">
        <w:rPr>
          <w:rFonts w:ascii="Times New Roman" w:hAnsi="Times New Roman" w:cs="Times New Roman"/>
        </w:rPr>
        <w:t>.</w:t>
      </w:r>
      <w:proofErr w:type="gramEnd"/>
    </w:p>
    <w:p w:rsidR="00DD05BB" w:rsidRDefault="00DD05BB" w:rsidP="005412F1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Polskie spółki giełdowe aktywnie przejmują inne firmy…</w:t>
      </w:r>
    </w:p>
    <w:p w:rsidR="00DD05BB" w:rsidRDefault="00DD05BB" w:rsidP="00DD05BB">
      <w:pPr>
        <w:jc w:val="both"/>
        <w:rPr>
          <w:rFonts w:ascii="Times New Roman" w:hAnsi="Times New Roman" w:cs="Times New Roman"/>
        </w:rPr>
      </w:pPr>
      <w:r w:rsidRPr="00790F05">
        <w:rPr>
          <w:rFonts w:ascii="Times New Roman" w:hAnsi="Times New Roman" w:cs="Times New Roman"/>
        </w:rPr>
        <w:t>W ostatnich latach polski rynek pozytywnie wyróżniał się na tle innych krajów, zarówno pod względem wskaźników makroekonomicznych,</w:t>
      </w:r>
      <w:r w:rsidR="00614770">
        <w:rPr>
          <w:rFonts w:ascii="Times New Roman" w:hAnsi="Times New Roman" w:cs="Times New Roman"/>
        </w:rPr>
        <w:t xml:space="preserve"> </w:t>
      </w:r>
      <w:r w:rsidRPr="00790F05">
        <w:rPr>
          <w:rFonts w:ascii="Times New Roman" w:hAnsi="Times New Roman" w:cs="Times New Roman"/>
        </w:rPr>
        <w:t>jak i statystyk transakcyjnych. Chociaż znaczną część transakcji fuzji i przejęć na rynku polskim stanowiły upublicznienia spółek należących do Skarbu Państwa, wejścia na giełdę bądź transakcje międzynarodowe,</w:t>
      </w:r>
      <w:r>
        <w:rPr>
          <w:rFonts w:ascii="Times New Roman" w:hAnsi="Times New Roman" w:cs="Times New Roman"/>
        </w:rPr>
        <w:t xml:space="preserve"> to </w:t>
      </w:r>
      <w:r w:rsidRPr="00790F05">
        <w:rPr>
          <w:rFonts w:ascii="Times New Roman" w:hAnsi="Times New Roman" w:cs="Times New Roman"/>
        </w:rPr>
        <w:t xml:space="preserve">okazuje się, że polskie przedsiębiorstwa były w ostatnich latach coraz bardziej </w:t>
      </w:r>
      <w:proofErr w:type="gramStart"/>
      <w:r w:rsidRPr="00790F05">
        <w:rPr>
          <w:rFonts w:ascii="Times New Roman" w:hAnsi="Times New Roman" w:cs="Times New Roman"/>
        </w:rPr>
        <w:t>aktywne jako</w:t>
      </w:r>
      <w:proofErr w:type="gramEnd"/>
      <w:r w:rsidRPr="00790F05">
        <w:rPr>
          <w:rFonts w:ascii="Times New Roman" w:hAnsi="Times New Roman" w:cs="Times New Roman"/>
        </w:rPr>
        <w:t xml:space="preserve"> inwestorzy nabywający akcje czy udziały innych firm. O ile </w:t>
      </w:r>
      <w:r>
        <w:rPr>
          <w:rFonts w:ascii="Times New Roman" w:hAnsi="Times New Roman" w:cs="Times New Roman"/>
        </w:rPr>
        <w:t xml:space="preserve">liczba </w:t>
      </w:r>
      <w:r w:rsidRPr="00790F05">
        <w:rPr>
          <w:rFonts w:ascii="Times New Roman" w:hAnsi="Times New Roman" w:cs="Times New Roman"/>
        </w:rPr>
        <w:t>transakcji przejęć</w:t>
      </w:r>
      <w:r>
        <w:rPr>
          <w:rFonts w:ascii="Times New Roman" w:hAnsi="Times New Roman" w:cs="Times New Roman"/>
        </w:rPr>
        <w:t>,</w:t>
      </w:r>
      <w:r w:rsidRPr="00790F05">
        <w:rPr>
          <w:rFonts w:ascii="Times New Roman" w:hAnsi="Times New Roman" w:cs="Times New Roman"/>
        </w:rPr>
        <w:t xml:space="preserve"> ogłoszonych przez spółki giełdowe w Polsce w latach 2008-2010</w:t>
      </w:r>
      <w:r>
        <w:rPr>
          <w:rFonts w:ascii="Times New Roman" w:hAnsi="Times New Roman" w:cs="Times New Roman"/>
        </w:rPr>
        <w:t>,</w:t>
      </w:r>
      <w:r w:rsidRPr="00790F05">
        <w:rPr>
          <w:rFonts w:ascii="Times New Roman" w:hAnsi="Times New Roman" w:cs="Times New Roman"/>
        </w:rPr>
        <w:t xml:space="preserve"> była imponująca (średnio ponad 100 rocznie), o tyle średnia wartość transakcji była niewielka, szczególnie w porównaniu do rynków zagranicznych. Jest to wynik wciąż niskiego stopnia koncentracji w wielu branżach oraz ograniczonych możliwości finansowych polskich spółek.</w:t>
      </w:r>
    </w:p>
    <w:p w:rsidR="002508E5" w:rsidRDefault="002508E5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:rsidR="007C4DD7" w:rsidRDefault="00100B78" w:rsidP="005412F1">
      <w:pPr>
        <w:jc w:val="both"/>
        <w:rPr>
          <w:rFonts w:ascii="Times New Roman" w:hAnsi="Times New Roman" w:cs="Times New Roman"/>
          <w:b/>
          <w:color w:val="FF0000"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lastRenderedPageBreak/>
        <w:t>…</w:t>
      </w:r>
      <w:r w:rsidR="000D4962">
        <w:rPr>
          <w:rFonts w:ascii="Times New Roman" w:hAnsi="Times New Roman" w:cs="Times New Roman"/>
          <w:b/>
          <w:color w:val="FF0000"/>
        </w:rPr>
        <w:t>ale</w:t>
      </w:r>
      <w:proofErr w:type="gramEnd"/>
      <w:r w:rsidR="000D4962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ilość</w:t>
      </w:r>
      <w:r w:rsidR="009D0490">
        <w:rPr>
          <w:rFonts w:ascii="Times New Roman" w:hAnsi="Times New Roman" w:cs="Times New Roman"/>
          <w:b/>
          <w:color w:val="FF0000"/>
        </w:rPr>
        <w:t xml:space="preserve"> transakcji</w:t>
      </w:r>
      <w:r>
        <w:rPr>
          <w:rFonts w:ascii="Times New Roman" w:hAnsi="Times New Roman" w:cs="Times New Roman"/>
          <w:b/>
          <w:color w:val="FF0000"/>
        </w:rPr>
        <w:t xml:space="preserve"> nie przekłada się na jakość</w:t>
      </w:r>
      <w:r w:rsidR="00DD05BB">
        <w:rPr>
          <w:rFonts w:ascii="Times New Roman" w:hAnsi="Times New Roman" w:cs="Times New Roman"/>
          <w:b/>
          <w:color w:val="FF0000"/>
        </w:rPr>
        <w:t xml:space="preserve"> </w:t>
      </w:r>
      <w:r w:rsidR="009D0490">
        <w:rPr>
          <w:rFonts w:ascii="Times New Roman" w:hAnsi="Times New Roman" w:cs="Times New Roman"/>
          <w:b/>
          <w:color w:val="FF0000"/>
        </w:rPr>
        <w:t>sprawozdań</w:t>
      </w:r>
    </w:p>
    <w:p w:rsidR="00036F6B" w:rsidRDefault="00100B78" w:rsidP="00100B78">
      <w:pPr>
        <w:jc w:val="both"/>
        <w:rPr>
          <w:rFonts w:ascii="Times New Roman" w:hAnsi="Times New Roman" w:cs="Times New Roman"/>
        </w:rPr>
      </w:pPr>
      <w:r w:rsidRPr="00790F05">
        <w:rPr>
          <w:rFonts w:ascii="Times New Roman" w:hAnsi="Times New Roman" w:cs="Times New Roman"/>
          <w:color w:val="000000" w:themeColor="text1"/>
        </w:rPr>
        <w:t xml:space="preserve">Pomimo dobrego klimatu transakcyjnego i pozycji lidera w całym regionie Europy Środkowo-Wschodniej, </w:t>
      </w:r>
      <w:r w:rsidRPr="00790F05">
        <w:rPr>
          <w:rFonts w:ascii="Times New Roman" w:hAnsi="Times New Roman" w:cs="Times New Roman"/>
        </w:rPr>
        <w:t xml:space="preserve">jakość sprawozdań finansowych w Polsce i poziom szczegółowości ujawnień </w:t>
      </w:r>
      <w:r w:rsidRPr="00790F05">
        <w:rPr>
          <w:rFonts w:ascii="Times New Roman" w:hAnsi="Times New Roman" w:cs="Times New Roman"/>
        </w:rPr>
        <w:br/>
        <w:t xml:space="preserve">w przypadku polskich spółek giełdowych </w:t>
      </w:r>
      <w:r w:rsidR="009D0490">
        <w:rPr>
          <w:rFonts w:ascii="Times New Roman" w:hAnsi="Times New Roman" w:cs="Times New Roman"/>
        </w:rPr>
        <w:t>są zdecydowanie niższe</w:t>
      </w:r>
      <w:r w:rsidRPr="00790F05">
        <w:rPr>
          <w:rFonts w:ascii="Times New Roman" w:hAnsi="Times New Roman" w:cs="Times New Roman"/>
        </w:rPr>
        <w:t xml:space="preserve"> w porównaniu ze spółkami </w:t>
      </w:r>
      <w:r w:rsidRPr="00790F05">
        <w:rPr>
          <w:rFonts w:ascii="Times New Roman" w:hAnsi="Times New Roman" w:cs="Times New Roman"/>
        </w:rPr>
        <w:br/>
        <w:t xml:space="preserve">z rynków bardziej dojrzałych. </w:t>
      </w:r>
    </w:p>
    <w:p w:rsidR="00100B78" w:rsidRDefault="009D0490" w:rsidP="00100B78">
      <w:pPr>
        <w:jc w:val="both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i/>
          <w:color w:val="1F497D" w:themeColor="text2"/>
        </w:rPr>
        <w:t xml:space="preserve">Nasze zdziwienie budzi fakt, </w:t>
      </w:r>
      <w:proofErr w:type="gramStart"/>
      <w:r>
        <w:rPr>
          <w:rFonts w:ascii="Times New Roman" w:hAnsi="Times New Roman" w:cs="Times New Roman"/>
          <w:i/>
          <w:color w:val="1F497D" w:themeColor="text2"/>
        </w:rPr>
        <w:t>że dla co</w:t>
      </w:r>
      <w:proofErr w:type="gramEnd"/>
      <w:r>
        <w:rPr>
          <w:rFonts w:ascii="Times New Roman" w:hAnsi="Times New Roman" w:cs="Times New Roman"/>
          <w:i/>
          <w:color w:val="1F497D" w:themeColor="text2"/>
        </w:rPr>
        <w:t xml:space="preserve"> trzeciej transakcji przeprowadzonej przez polskie spółki giełdowe, nie ujawniono należycie procesu alokacji ceny nabycia, pomimo takiego obowiązku wynikającego z MSSF 3</w:t>
      </w:r>
      <w:r w:rsidR="00036F6B">
        <w:rPr>
          <w:rFonts w:ascii="Times New Roman" w:hAnsi="Times New Roman" w:cs="Times New Roman"/>
          <w:i/>
          <w:color w:val="1F497D" w:themeColor="text2"/>
        </w:rPr>
        <w:t xml:space="preserve">. Tam, gdzie dokonano takiego ujawnienia, zwraca uwagę jego niska szczegółowość i niekompletność identyfikacji oraz wyceny nabywanych wartości niematerialnych, które często stanowią istotną część wartości </w:t>
      </w:r>
      <w:proofErr w:type="gramStart"/>
      <w:r w:rsidR="00036F6B">
        <w:rPr>
          <w:rFonts w:ascii="Times New Roman" w:hAnsi="Times New Roman" w:cs="Times New Roman"/>
          <w:i/>
          <w:color w:val="1F497D" w:themeColor="text2"/>
        </w:rPr>
        <w:t>transakcji</w:t>
      </w:r>
      <w:r w:rsidR="007D1437">
        <w:rPr>
          <w:rFonts w:ascii="Times New Roman" w:hAnsi="Times New Roman" w:cs="Times New Roman"/>
          <w:i/>
          <w:color w:val="1F497D" w:themeColor="text2"/>
        </w:rPr>
        <w:t xml:space="preserve"> </w:t>
      </w:r>
      <w:r w:rsidR="00100B78">
        <w:rPr>
          <w:rFonts w:ascii="Times New Roman" w:hAnsi="Times New Roman" w:cs="Times New Roman"/>
          <w:i/>
          <w:color w:val="1F497D" w:themeColor="text2"/>
        </w:rPr>
        <w:t xml:space="preserve"> </w:t>
      </w:r>
      <w:r w:rsidR="00100B78" w:rsidRPr="00790F05">
        <w:rPr>
          <w:rFonts w:ascii="Times New Roman" w:hAnsi="Times New Roman" w:cs="Times New Roman"/>
        </w:rPr>
        <w:t>– powiedział</w:t>
      </w:r>
      <w:proofErr w:type="gramEnd"/>
      <w:r w:rsidR="00100B78" w:rsidRPr="00790F05">
        <w:rPr>
          <w:rFonts w:ascii="Times New Roman" w:hAnsi="Times New Roman" w:cs="Times New Roman"/>
        </w:rPr>
        <w:t xml:space="preserve"> </w:t>
      </w:r>
      <w:r w:rsidR="00100B78" w:rsidRPr="00790F05">
        <w:rPr>
          <w:rFonts w:ascii="Times New Roman" w:hAnsi="Times New Roman" w:cs="Times New Roman"/>
          <w:b/>
          <w:color w:val="1F497D" w:themeColor="text2"/>
        </w:rPr>
        <w:t xml:space="preserve">Tomasz Wiśniewski, Partner </w:t>
      </w:r>
      <w:r w:rsidR="007D1437">
        <w:rPr>
          <w:rFonts w:ascii="Times New Roman" w:hAnsi="Times New Roman" w:cs="Times New Roman"/>
          <w:b/>
          <w:color w:val="1F497D" w:themeColor="text2"/>
        </w:rPr>
        <w:br/>
      </w:r>
      <w:r w:rsidR="00100B78" w:rsidRPr="00790F05">
        <w:rPr>
          <w:rFonts w:ascii="Times New Roman" w:hAnsi="Times New Roman" w:cs="Times New Roman"/>
          <w:b/>
          <w:color w:val="1F497D" w:themeColor="text2"/>
        </w:rPr>
        <w:t>w KPMG.</w:t>
      </w:r>
    </w:p>
    <w:p w:rsidR="00D37FF6" w:rsidRDefault="00D405CC" w:rsidP="00D37FF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porównaniu z rynkami zagranicznymi, j</w:t>
      </w:r>
      <w:r w:rsidR="00100B78" w:rsidRPr="00100B78">
        <w:rPr>
          <w:rFonts w:ascii="Times New Roman" w:hAnsi="Times New Roman" w:cs="Times New Roman"/>
          <w:color w:val="000000" w:themeColor="text1"/>
        </w:rPr>
        <w:t xml:space="preserve">akość ujawnień transakcji </w:t>
      </w:r>
      <w:proofErr w:type="spellStart"/>
      <w:r w:rsidR="00100B78" w:rsidRPr="00100B78">
        <w:rPr>
          <w:rFonts w:ascii="Times New Roman" w:hAnsi="Times New Roman" w:cs="Times New Roman"/>
          <w:color w:val="000000" w:themeColor="text1"/>
        </w:rPr>
        <w:t>M&amp;A</w:t>
      </w:r>
      <w:proofErr w:type="spellEnd"/>
      <w:r w:rsidR="00100B78" w:rsidRPr="00100B78">
        <w:rPr>
          <w:rFonts w:ascii="Times New Roman" w:hAnsi="Times New Roman" w:cs="Times New Roman"/>
          <w:color w:val="000000" w:themeColor="text1"/>
        </w:rPr>
        <w:t xml:space="preserve"> w sprawozdaniach finansowych polskich spółek pozostawia wiele do życzenia, widoczne są daleko idące uproszczenia, być może nawet wypaczające prawidłowy obraz transakcji</w:t>
      </w:r>
      <w:r w:rsidR="00100B78">
        <w:rPr>
          <w:rFonts w:ascii="Times New Roman" w:hAnsi="Times New Roman" w:cs="Times New Roman"/>
          <w:color w:val="000000" w:themeColor="text1"/>
        </w:rPr>
        <w:t xml:space="preserve">. </w:t>
      </w:r>
    </w:p>
    <w:p w:rsidR="00100B78" w:rsidRDefault="00036F6B" w:rsidP="00100B78">
      <w:pPr>
        <w:jc w:val="both"/>
        <w:rPr>
          <w:rFonts w:ascii="Times New Roman" w:hAnsi="Times New Roman" w:cs="Times New Roman"/>
          <w:b/>
          <w:color w:val="1F497D" w:themeColor="text2"/>
        </w:rPr>
      </w:pPr>
      <w:r w:rsidRPr="00036F6B">
        <w:rPr>
          <w:rFonts w:ascii="Times New Roman" w:hAnsi="Times New Roman" w:cs="Times New Roman"/>
          <w:i/>
          <w:color w:val="1F497D" w:themeColor="text2"/>
        </w:rPr>
        <w:t>Na szczęście zaobserwowaliśmy pewną prawidłowość, że im większa transakcja tym większa staranność Zarządu</w:t>
      </w:r>
      <w:r w:rsidR="00614770">
        <w:rPr>
          <w:rFonts w:ascii="Times New Roman" w:hAnsi="Times New Roman" w:cs="Times New Roman"/>
          <w:i/>
          <w:color w:val="1F497D" w:themeColor="text2"/>
        </w:rPr>
        <w:t xml:space="preserve">, </w:t>
      </w:r>
      <w:r w:rsidRPr="00036F6B">
        <w:rPr>
          <w:rFonts w:ascii="Times New Roman" w:hAnsi="Times New Roman" w:cs="Times New Roman"/>
          <w:i/>
          <w:color w:val="1F497D" w:themeColor="text2"/>
        </w:rPr>
        <w:t xml:space="preserve">aby proces alokacji ceny nabycia został odpowiednio przeprowadzony </w:t>
      </w:r>
      <w:r w:rsidR="00614770">
        <w:rPr>
          <w:rFonts w:ascii="Times New Roman" w:hAnsi="Times New Roman" w:cs="Times New Roman"/>
          <w:i/>
          <w:color w:val="1F497D" w:themeColor="text2"/>
        </w:rPr>
        <w:br/>
      </w:r>
      <w:r w:rsidRPr="00036F6B">
        <w:rPr>
          <w:rFonts w:ascii="Times New Roman" w:hAnsi="Times New Roman" w:cs="Times New Roman"/>
          <w:i/>
          <w:color w:val="1F497D" w:themeColor="text2"/>
        </w:rPr>
        <w:t>i ujawniony</w:t>
      </w:r>
      <w:r w:rsidR="00614770">
        <w:rPr>
          <w:rFonts w:ascii="Times New Roman" w:hAnsi="Times New Roman" w:cs="Times New Roman"/>
          <w:i/>
          <w:color w:val="1F497D" w:themeColor="text2"/>
        </w:rPr>
        <w:t>. Z</w:t>
      </w:r>
      <w:r w:rsidRPr="00036F6B">
        <w:rPr>
          <w:rFonts w:ascii="Times New Roman" w:hAnsi="Times New Roman" w:cs="Times New Roman"/>
          <w:i/>
          <w:color w:val="1F497D" w:themeColor="text2"/>
        </w:rPr>
        <w:t>identyfikowaliśmy i opisaliśmy</w:t>
      </w:r>
      <w:r w:rsidR="007D1437">
        <w:rPr>
          <w:rFonts w:ascii="Times New Roman" w:hAnsi="Times New Roman" w:cs="Times New Roman"/>
          <w:i/>
          <w:color w:val="1F497D" w:themeColor="text2"/>
        </w:rPr>
        <w:t xml:space="preserve"> w raporcie</w:t>
      </w:r>
      <w:r w:rsidRPr="00036F6B">
        <w:rPr>
          <w:rFonts w:ascii="Times New Roman" w:hAnsi="Times New Roman" w:cs="Times New Roman"/>
          <w:i/>
          <w:color w:val="1F497D" w:themeColor="text2"/>
        </w:rPr>
        <w:t xml:space="preserve"> kilka „modelowych” przykładów ujawnień</w:t>
      </w:r>
      <w:r w:rsidR="00D37FF6">
        <w:rPr>
          <w:rFonts w:ascii="Times New Roman" w:hAnsi="Times New Roman" w:cs="Times New Roman"/>
          <w:i/>
          <w:color w:val="1F497D" w:themeColor="text2"/>
        </w:rPr>
        <w:t>,</w:t>
      </w:r>
      <w:r w:rsidRPr="00036F6B">
        <w:rPr>
          <w:rFonts w:ascii="Times New Roman" w:hAnsi="Times New Roman" w:cs="Times New Roman"/>
          <w:i/>
          <w:color w:val="1F497D" w:themeColor="text2"/>
        </w:rPr>
        <w:t xml:space="preserve"> które, miejmy nadzieję, znajdą naśladowców</w:t>
      </w:r>
      <w:r w:rsidR="00100B78">
        <w:rPr>
          <w:rFonts w:ascii="Times New Roman" w:hAnsi="Times New Roman" w:cs="Times New Roman"/>
          <w:i/>
          <w:color w:val="1F497D" w:themeColor="text2"/>
        </w:rPr>
        <w:t xml:space="preserve"> </w:t>
      </w:r>
      <w:r w:rsidR="00100B78" w:rsidRPr="00790F05">
        <w:rPr>
          <w:rFonts w:ascii="Times New Roman" w:hAnsi="Times New Roman" w:cs="Times New Roman"/>
        </w:rPr>
        <w:t xml:space="preserve">– </w:t>
      </w:r>
      <w:r w:rsidR="00100B78">
        <w:rPr>
          <w:rFonts w:ascii="Times New Roman" w:hAnsi="Times New Roman" w:cs="Times New Roman"/>
        </w:rPr>
        <w:t>dodaje</w:t>
      </w:r>
      <w:r w:rsidR="00100B78" w:rsidRPr="00790F05">
        <w:rPr>
          <w:rFonts w:ascii="Times New Roman" w:hAnsi="Times New Roman" w:cs="Times New Roman"/>
        </w:rPr>
        <w:t xml:space="preserve"> </w:t>
      </w:r>
      <w:r w:rsidR="00100B78" w:rsidRPr="00790F05">
        <w:rPr>
          <w:rFonts w:ascii="Times New Roman" w:hAnsi="Times New Roman" w:cs="Times New Roman"/>
          <w:b/>
          <w:color w:val="1F497D" w:themeColor="text2"/>
        </w:rPr>
        <w:t>Marcin Łą</w:t>
      </w:r>
      <w:r w:rsidR="00100B78">
        <w:rPr>
          <w:rFonts w:ascii="Times New Roman" w:hAnsi="Times New Roman" w:cs="Times New Roman"/>
          <w:b/>
          <w:color w:val="1F497D" w:themeColor="text2"/>
        </w:rPr>
        <w:t xml:space="preserve">giewka, </w:t>
      </w:r>
      <w:r w:rsidR="00100B78" w:rsidRPr="00790F05">
        <w:rPr>
          <w:rFonts w:ascii="Times New Roman" w:hAnsi="Times New Roman" w:cs="Times New Roman"/>
          <w:b/>
          <w:color w:val="1F497D" w:themeColor="text2"/>
        </w:rPr>
        <w:t>Dyrektor w KPMG.</w:t>
      </w:r>
    </w:p>
    <w:p w:rsidR="0010024E" w:rsidRPr="00790F05" w:rsidRDefault="0010024E" w:rsidP="00362264">
      <w:pPr>
        <w:spacing w:before="240"/>
        <w:jc w:val="center"/>
        <w:rPr>
          <w:rFonts w:ascii="Times New Roman" w:hAnsi="Times New Roman" w:cs="Times New Roman"/>
          <w:lang w:eastAsia="pl-PL"/>
        </w:rPr>
      </w:pPr>
    </w:p>
    <w:p w:rsidR="00362264" w:rsidRDefault="00362264" w:rsidP="0010024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90F05">
        <w:rPr>
          <w:rFonts w:ascii="Times New Roman" w:hAnsi="Times New Roman" w:cs="Times New Roman"/>
          <w:sz w:val="20"/>
          <w:szCs w:val="20"/>
        </w:rPr>
        <w:t>****</w:t>
      </w:r>
      <w:r w:rsidR="00C64EB0" w:rsidRPr="00790F05">
        <w:rPr>
          <w:rFonts w:ascii="Times New Roman" w:hAnsi="Times New Roman" w:cs="Times New Roman"/>
          <w:sz w:val="20"/>
          <w:szCs w:val="20"/>
        </w:rPr>
        <w:br/>
      </w:r>
      <w:r w:rsidRPr="00790F05">
        <w:rPr>
          <w:rFonts w:ascii="Times New Roman" w:hAnsi="Times New Roman" w:cs="Times New Roman"/>
          <w:b/>
          <w:sz w:val="20"/>
          <w:szCs w:val="20"/>
        </w:rPr>
        <w:t>O badaniu:</w:t>
      </w:r>
    </w:p>
    <w:p w:rsidR="00F36DA0" w:rsidRDefault="00F36DA0" w:rsidP="0010024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36DA0" w:rsidRPr="00F36DA0" w:rsidRDefault="00F36DA0" w:rsidP="00F36DA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Badanie zostało przeprowadzone przez zespół KPMG w Niemczech i uzupełnione o analizy rynku polskiego przeprowadzone przez zespół KPMG w Polsce. Ogółem dla rynków zagranicznych przeanalizowano 342 transakcje, w </w:t>
      </w:r>
      <w:proofErr w:type="gramStart"/>
      <w:r>
        <w:rPr>
          <w:rFonts w:ascii="Times New Roman" w:hAnsi="Times New Roman" w:cs="Times New Roman"/>
          <w:sz w:val="20"/>
          <w:szCs w:val="20"/>
        </w:rPr>
        <w:t>przypadku których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198 podmiotów przejmujących miało obowiązek publikacji sprawozdań zgodnie z MSSF, a 144 – zgodnie z US GAAP. Dodatkowo, dla rynku polskiego przeanalizowano 56 transakcji </w:t>
      </w:r>
      <w:proofErr w:type="gramStart"/>
      <w:r>
        <w:rPr>
          <w:rFonts w:ascii="Times New Roman" w:hAnsi="Times New Roman" w:cs="Times New Roman"/>
          <w:sz w:val="20"/>
          <w:szCs w:val="20"/>
        </w:rPr>
        <w:t>fuzji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 przejęć ogłoszonych w latach 2008-2010, w których przejmujący mieli obowiązek publikacji sprawozdań zgodnie z MSSF.</w:t>
      </w:r>
    </w:p>
    <w:p w:rsidR="0010024E" w:rsidRPr="00790F05" w:rsidRDefault="0010024E" w:rsidP="001002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51172" w:rsidRPr="00790F05" w:rsidRDefault="00651172" w:rsidP="001002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62264" w:rsidRPr="00790F05" w:rsidRDefault="00362264" w:rsidP="0010024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90F05">
        <w:rPr>
          <w:rFonts w:ascii="Times New Roman" w:hAnsi="Times New Roman" w:cs="Times New Roman"/>
          <w:sz w:val="20"/>
          <w:szCs w:val="20"/>
        </w:rPr>
        <w:t>****</w:t>
      </w:r>
      <w:r w:rsidR="00C64EB0" w:rsidRPr="00790F05">
        <w:rPr>
          <w:rFonts w:ascii="Times New Roman" w:hAnsi="Times New Roman" w:cs="Times New Roman"/>
          <w:sz w:val="20"/>
          <w:szCs w:val="20"/>
        </w:rPr>
        <w:br/>
      </w:r>
      <w:r w:rsidRPr="00790F05">
        <w:rPr>
          <w:rFonts w:ascii="Times New Roman" w:hAnsi="Times New Roman" w:cs="Times New Roman"/>
          <w:b/>
          <w:sz w:val="20"/>
          <w:szCs w:val="20"/>
        </w:rPr>
        <w:t>O KPMG:</w:t>
      </w:r>
    </w:p>
    <w:p w:rsidR="0010024E" w:rsidRPr="00790F05" w:rsidRDefault="0010024E" w:rsidP="0010024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362264" w:rsidRPr="00790F05" w:rsidRDefault="00362264" w:rsidP="0010024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790F05">
        <w:rPr>
          <w:rFonts w:ascii="Times New Roman" w:hAnsi="Times New Roman" w:cs="Times New Roman"/>
          <w:sz w:val="20"/>
          <w:szCs w:val="20"/>
        </w:rPr>
        <w:t xml:space="preserve">KPMG to międzynarodowa sieć firm świadczących usługi z zakresu audytu, doradztwa podatkowego </w:t>
      </w:r>
      <w:r w:rsidRPr="00790F05">
        <w:rPr>
          <w:rFonts w:ascii="Times New Roman" w:hAnsi="Times New Roman" w:cs="Times New Roman"/>
          <w:sz w:val="20"/>
          <w:szCs w:val="20"/>
        </w:rPr>
        <w:br/>
        <w:t xml:space="preserve">i doradztwa gospodarczego. KPMG zatrudnia 138 000 pracowników w 150 krajach. Niezależne firmy członkowskie sieci KPMG są stowarzyszone z KPMG International </w:t>
      </w:r>
      <w:proofErr w:type="spellStart"/>
      <w:r w:rsidRPr="00790F05">
        <w:rPr>
          <w:rFonts w:ascii="Times New Roman" w:hAnsi="Times New Roman" w:cs="Times New Roman"/>
          <w:sz w:val="20"/>
          <w:szCs w:val="20"/>
        </w:rPr>
        <w:t>Cooperative</w:t>
      </w:r>
      <w:proofErr w:type="spellEnd"/>
      <w:r w:rsidRPr="00790F05">
        <w:rPr>
          <w:rFonts w:ascii="Times New Roman" w:hAnsi="Times New Roman" w:cs="Times New Roman"/>
          <w:sz w:val="20"/>
          <w:szCs w:val="20"/>
        </w:rPr>
        <w:t xml:space="preserve"> („KPMG International”), podmiotem prawa szwajcarskiego. Każda z firm KPMG posiada odrębną osobowość prawną. W Polsce KPMG działa od 1990 roku. Obecnie zatrudnia blisko 1200 osób w Warszawie, Krakowie, Poznaniu, Wrocławiu, Gdańsku i Katowicach.</w:t>
      </w:r>
    </w:p>
    <w:p w:rsidR="0097395F" w:rsidRPr="00790F05" w:rsidRDefault="0097395F" w:rsidP="001002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62264" w:rsidRPr="00790F05" w:rsidRDefault="00362264" w:rsidP="0010024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90F05">
        <w:rPr>
          <w:rFonts w:ascii="Times New Roman" w:hAnsi="Times New Roman" w:cs="Times New Roman"/>
          <w:sz w:val="20"/>
          <w:szCs w:val="20"/>
        </w:rPr>
        <w:t>****</w:t>
      </w:r>
      <w:r w:rsidR="00C64EB0" w:rsidRPr="00790F05">
        <w:rPr>
          <w:rFonts w:ascii="Times New Roman" w:hAnsi="Times New Roman" w:cs="Times New Roman"/>
          <w:sz w:val="20"/>
          <w:szCs w:val="20"/>
        </w:rPr>
        <w:br/>
      </w:r>
      <w:r w:rsidRPr="00790F05">
        <w:rPr>
          <w:rFonts w:ascii="Times New Roman" w:hAnsi="Times New Roman" w:cs="Times New Roman"/>
          <w:b/>
          <w:sz w:val="20"/>
          <w:szCs w:val="20"/>
        </w:rPr>
        <w:t>Kontakt dla mediów:</w:t>
      </w:r>
    </w:p>
    <w:p w:rsidR="0010024E" w:rsidRPr="00790F05" w:rsidRDefault="0010024E" w:rsidP="001002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62264" w:rsidRPr="00790F05" w:rsidRDefault="008F668E" w:rsidP="001002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C32C7">
        <w:rPr>
          <w:rFonts w:ascii="Times New Roman" w:hAnsi="Times New Roman" w:cs="Times New Roman"/>
          <w:sz w:val="20"/>
          <w:szCs w:val="20"/>
        </w:rPr>
        <w:t>Marta Tyszer, email: mtyszer@kpmg.pl, tel</w:t>
      </w:r>
      <w:proofErr w:type="gramStart"/>
      <w:r w:rsidRPr="004C32C7">
        <w:rPr>
          <w:rFonts w:ascii="Times New Roman" w:hAnsi="Times New Roman" w:cs="Times New Roman"/>
          <w:sz w:val="20"/>
          <w:szCs w:val="20"/>
        </w:rPr>
        <w:t xml:space="preserve">. </w:t>
      </w:r>
      <w:r w:rsidR="00362264" w:rsidRPr="00790F05">
        <w:rPr>
          <w:rFonts w:ascii="Times New Roman" w:hAnsi="Times New Roman" w:cs="Times New Roman"/>
          <w:sz w:val="20"/>
          <w:szCs w:val="20"/>
        </w:rPr>
        <w:t>(22) 528 14 04 lub</w:t>
      </w:r>
      <w:proofErr w:type="gramEnd"/>
      <w:r w:rsidR="00362264" w:rsidRPr="00790F05">
        <w:rPr>
          <w:rFonts w:ascii="Times New Roman" w:hAnsi="Times New Roman" w:cs="Times New Roman"/>
          <w:sz w:val="20"/>
          <w:szCs w:val="20"/>
        </w:rPr>
        <w:t xml:space="preserve"> 664 718 613 </w:t>
      </w:r>
    </w:p>
    <w:p w:rsidR="000B1910" w:rsidRPr="00790F05" w:rsidRDefault="00362264" w:rsidP="001002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0F05">
        <w:rPr>
          <w:rFonts w:ascii="Times New Roman" w:hAnsi="Times New Roman" w:cs="Times New Roman"/>
          <w:sz w:val="20"/>
          <w:szCs w:val="20"/>
        </w:rPr>
        <w:t>Magdalena Maruszczak, email: mmaruszczak@kpmg.</w:t>
      </w:r>
      <w:proofErr w:type="gramStart"/>
      <w:r w:rsidRPr="00790F05">
        <w:rPr>
          <w:rFonts w:ascii="Times New Roman" w:hAnsi="Times New Roman" w:cs="Times New Roman"/>
          <w:sz w:val="20"/>
          <w:szCs w:val="20"/>
        </w:rPr>
        <w:t>pl</w:t>
      </w:r>
      <w:proofErr w:type="gramEnd"/>
      <w:r w:rsidRPr="00790F05">
        <w:rPr>
          <w:rFonts w:ascii="Times New Roman" w:hAnsi="Times New Roman" w:cs="Times New Roman"/>
          <w:sz w:val="20"/>
          <w:szCs w:val="20"/>
        </w:rPr>
        <w:t>, tel. (22) 528 11 61 lub 604 496 330</w:t>
      </w:r>
    </w:p>
    <w:sectPr w:rsidR="000B1910" w:rsidRPr="00790F05" w:rsidSect="003C6D8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C90" w:rsidRDefault="00BA0C90" w:rsidP="00A61929">
      <w:pPr>
        <w:spacing w:after="0" w:line="240" w:lineRule="auto"/>
      </w:pPr>
      <w:r>
        <w:separator/>
      </w:r>
    </w:p>
  </w:endnote>
  <w:endnote w:type="continuationSeparator" w:id="0">
    <w:p w:rsidR="00BA0C90" w:rsidRDefault="00BA0C90" w:rsidP="00A6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C90" w:rsidRDefault="00BA0C90" w:rsidP="00A61929">
      <w:pPr>
        <w:spacing w:after="0" w:line="240" w:lineRule="auto"/>
      </w:pPr>
      <w:r>
        <w:separator/>
      </w:r>
    </w:p>
  </w:footnote>
  <w:footnote w:type="continuationSeparator" w:id="0">
    <w:p w:rsidR="00BA0C90" w:rsidRDefault="00BA0C90" w:rsidP="00A6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38" w:rsidRDefault="0075313E" w:rsidP="00A61929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3.45pt;margin-top:-13.5pt;width:132.65pt;height:57.8pt;z-index:-251658240;mso-wrap-edited:f" filled="f" stroked="f">
          <v:textbox style="mso-next-textbox:#_x0000_s2049">
            <w:txbxContent>
              <w:p w:rsidR="00DD5438" w:rsidRPr="00181D84" w:rsidRDefault="00DD5438" w:rsidP="00A61929">
                <w:pPr>
                  <w:jc w:val="right"/>
                  <w:rPr>
                    <w:color w:val="00338D"/>
                    <w:sz w:val="72"/>
                    <w:szCs w:val="72"/>
                  </w:rPr>
                </w:pPr>
                <w:r w:rsidRPr="00ED6A44">
                  <w:rPr>
                    <w:rFonts w:ascii="Arial" w:hAnsi="Arial"/>
                    <w:color w:val="00338D"/>
                    <w:spacing w:val="-20"/>
                    <w:sz w:val="72"/>
                    <w:szCs w:val="72"/>
                  </w:rPr>
                  <w:t>News</w:t>
                </w:r>
              </w:p>
            </w:txbxContent>
          </v:textbox>
        </v:shape>
      </w:pict>
    </w:r>
    <w:r w:rsidR="00DD5438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-574040</wp:posOffset>
          </wp:positionH>
          <wp:positionV relativeFrom="paragraph">
            <wp:posOffset>-354965</wp:posOffset>
          </wp:positionV>
          <wp:extent cx="1304925" cy="965200"/>
          <wp:effectExtent l="19050" t="0" r="9525" b="0"/>
          <wp:wrapTight wrapText="bothSides">
            <wp:wrapPolygon edited="0">
              <wp:start x="-315" y="0"/>
              <wp:lineTo x="-315" y="21316"/>
              <wp:lineTo x="21758" y="21316"/>
              <wp:lineTo x="21758" y="0"/>
              <wp:lineTo x="-315" y="0"/>
            </wp:wrapPolygon>
          </wp:wrapTight>
          <wp:docPr id="2" name="Picture 1" descr="KPMG_NoCP_CMYK_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MG_NoCP_CMYK_Euro.jpg"/>
                  <pic:cNvPicPr>
                    <a:picLocks noChangeAspect="1" noChangeArrowheads="1"/>
                  </pic:cNvPicPr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5438" w:rsidRDefault="00DD5438">
    <w:pPr>
      <w:pStyle w:val="Header"/>
    </w:pPr>
  </w:p>
  <w:p w:rsidR="00DD5438" w:rsidRDefault="00DD5438">
    <w:pPr>
      <w:pStyle w:val="Header"/>
    </w:pPr>
  </w:p>
  <w:p w:rsidR="007D1437" w:rsidRDefault="007D1437">
    <w:pPr>
      <w:pStyle w:val="Header"/>
    </w:pPr>
  </w:p>
  <w:p w:rsidR="00DD5438" w:rsidRDefault="00DD54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551B1"/>
    <w:multiLevelType w:val="hybridMultilevel"/>
    <w:tmpl w:val="9828CB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0296D"/>
    <w:multiLevelType w:val="singleLevel"/>
    <w:tmpl w:val="3DCC47F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182A"/>
    <w:rsid w:val="00002DAA"/>
    <w:rsid w:val="00017F3B"/>
    <w:rsid w:val="00036F6B"/>
    <w:rsid w:val="00064732"/>
    <w:rsid w:val="00065F38"/>
    <w:rsid w:val="000B1910"/>
    <w:rsid w:val="000B7C6F"/>
    <w:rsid w:val="000D4962"/>
    <w:rsid w:val="000E26CF"/>
    <w:rsid w:val="000E5325"/>
    <w:rsid w:val="0010024E"/>
    <w:rsid w:val="00100B78"/>
    <w:rsid w:val="00105034"/>
    <w:rsid w:val="00110906"/>
    <w:rsid w:val="001309F9"/>
    <w:rsid w:val="001419BC"/>
    <w:rsid w:val="001B2D46"/>
    <w:rsid w:val="0025034E"/>
    <w:rsid w:val="002508E5"/>
    <w:rsid w:val="00257A7B"/>
    <w:rsid w:val="002A6118"/>
    <w:rsid w:val="002B28DA"/>
    <w:rsid w:val="002E1A43"/>
    <w:rsid w:val="003134AF"/>
    <w:rsid w:val="003526F4"/>
    <w:rsid w:val="00362264"/>
    <w:rsid w:val="003A1385"/>
    <w:rsid w:val="003C6D87"/>
    <w:rsid w:val="003F668D"/>
    <w:rsid w:val="004079D0"/>
    <w:rsid w:val="00421BDF"/>
    <w:rsid w:val="00434279"/>
    <w:rsid w:val="00440D62"/>
    <w:rsid w:val="00495AE2"/>
    <w:rsid w:val="004C32C7"/>
    <w:rsid w:val="0051725B"/>
    <w:rsid w:val="005412F1"/>
    <w:rsid w:val="00547591"/>
    <w:rsid w:val="005D116D"/>
    <w:rsid w:val="005E0E45"/>
    <w:rsid w:val="00607C28"/>
    <w:rsid w:val="00614770"/>
    <w:rsid w:val="00626CBC"/>
    <w:rsid w:val="00630F5F"/>
    <w:rsid w:val="00633647"/>
    <w:rsid w:val="00633846"/>
    <w:rsid w:val="00651172"/>
    <w:rsid w:val="00657F00"/>
    <w:rsid w:val="006639BA"/>
    <w:rsid w:val="0067741D"/>
    <w:rsid w:val="00686EEC"/>
    <w:rsid w:val="00693B3B"/>
    <w:rsid w:val="006C5878"/>
    <w:rsid w:val="006D30E3"/>
    <w:rsid w:val="007120F4"/>
    <w:rsid w:val="00737B6B"/>
    <w:rsid w:val="0074429F"/>
    <w:rsid w:val="0075313E"/>
    <w:rsid w:val="00790F05"/>
    <w:rsid w:val="007B1340"/>
    <w:rsid w:val="007C4DD7"/>
    <w:rsid w:val="007D1437"/>
    <w:rsid w:val="007D2245"/>
    <w:rsid w:val="007F6978"/>
    <w:rsid w:val="008137D4"/>
    <w:rsid w:val="00824EE0"/>
    <w:rsid w:val="00855D08"/>
    <w:rsid w:val="008869F4"/>
    <w:rsid w:val="008C0666"/>
    <w:rsid w:val="008E7953"/>
    <w:rsid w:val="008F668E"/>
    <w:rsid w:val="0097395F"/>
    <w:rsid w:val="009743FE"/>
    <w:rsid w:val="009925AF"/>
    <w:rsid w:val="009D0490"/>
    <w:rsid w:val="009D3A20"/>
    <w:rsid w:val="009F2D02"/>
    <w:rsid w:val="00A12192"/>
    <w:rsid w:val="00A23114"/>
    <w:rsid w:val="00A61929"/>
    <w:rsid w:val="00AA2BFF"/>
    <w:rsid w:val="00AB5B8F"/>
    <w:rsid w:val="00AC3722"/>
    <w:rsid w:val="00AF17F4"/>
    <w:rsid w:val="00B11082"/>
    <w:rsid w:val="00B119A8"/>
    <w:rsid w:val="00B13503"/>
    <w:rsid w:val="00B868F5"/>
    <w:rsid w:val="00BA0C90"/>
    <w:rsid w:val="00C01E39"/>
    <w:rsid w:val="00C11BDF"/>
    <w:rsid w:val="00C30528"/>
    <w:rsid w:val="00C604ED"/>
    <w:rsid w:val="00C64EB0"/>
    <w:rsid w:val="00C87BBF"/>
    <w:rsid w:val="00CA059D"/>
    <w:rsid w:val="00CE49F8"/>
    <w:rsid w:val="00D00034"/>
    <w:rsid w:val="00D334F4"/>
    <w:rsid w:val="00D37FF6"/>
    <w:rsid w:val="00D405CC"/>
    <w:rsid w:val="00D4312A"/>
    <w:rsid w:val="00D46AAC"/>
    <w:rsid w:val="00D54F21"/>
    <w:rsid w:val="00D743CF"/>
    <w:rsid w:val="00DB7BB0"/>
    <w:rsid w:val="00DD05BB"/>
    <w:rsid w:val="00DD5438"/>
    <w:rsid w:val="00DE7BE1"/>
    <w:rsid w:val="00DF0570"/>
    <w:rsid w:val="00DF0FE7"/>
    <w:rsid w:val="00DF3DD1"/>
    <w:rsid w:val="00E250E2"/>
    <w:rsid w:val="00E3182A"/>
    <w:rsid w:val="00E670A5"/>
    <w:rsid w:val="00E729B1"/>
    <w:rsid w:val="00E97F84"/>
    <w:rsid w:val="00EA2E02"/>
    <w:rsid w:val="00EA4C9D"/>
    <w:rsid w:val="00EA72FE"/>
    <w:rsid w:val="00EB4D97"/>
    <w:rsid w:val="00EC14F5"/>
    <w:rsid w:val="00ED0870"/>
    <w:rsid w:val="00ED26BC"/>
    <w:rsid w:val="00F24FCA"/>
    <w:rsid w:val="00F25D59"/>
    <w:rsid w:val="00F36DA0"/>
    <w:rsid w:val="00F66042"/>
    <w:rsid w:val="00FC58BE"/>
    <w:rsid w:val="00FE5E1E"/>
    <w:rsid w:val="00FF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61929"/>
    <w:pPr>
      <w:spacing w:after="0" w:line="36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A61929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6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929"/>
  </w:style>
  <w:style w:type="paragraph" w:styleId="Footer">
    <w:name w:val="footer"/>
    <w:basedOn w:val="Normal"/>
    <w:link w:val="FooterChar"/>
    <w:uiPriority w:val="99"/>
    <w:semiHidden/>
    <w:unhideWhenUsed/>
    <w:rsid w:val="00A6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929"/>
  </w:style>
  <w:style w:type="paragraph" w:styleId="BalloonText">
    <w:name w:val="Balloon Text"/>
    <w:basedOn w:val="Normal"/>
    <w:link w:val="BalloonTextChar"/>
    <w:uiPriority w:val="99"/>
    <w:semiHidden/>
    <w:unhideWhenUsed/>
    <w:rsid w:val="00A6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2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22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2264"/>
  </w:style>
  <w:style w:type="character" w:customStyle="1" w:styleId="hps">
    <w:name w:val="hps"/>
    <w:basedOn w:val="DefaultParagraphFont"/>
    <w:rsid w:val="00362264"/>
  </w:style>
  <w:style w:type="character" w:styleId="CommentReference">
    <w:name w:val="annotation reference"/>
    <w:basedOn w:val="DefaultParagraphFont"/>
    <w:uiPriority w:val="99"/>
    <w:semiHidden/>
    <w:unhideWhenUsed/>
    <w:rsid w:val="00824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EE0"/>
    <w:rPr>
      <w:b/>
      <w:bCs/>
    </w:rPr>
  </w:style>
  <w:style w:type="paragraph" w:styleId="NoSpacing">
    <w:name w:val="No Spacing"/>
    <w:uiPriority w:val="1"/>
    <w:qFormat/>
    <w:rsid w:val="00100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0870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508A-58B7-4259-A2D2-5D695B55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mtyszer</dc:creator>
  <cp:lastModifiedBy>mtyszer</cp:lastModifiedBy>
  <cp:revision>6</cp:revision>
  <cp:lastPrinted>2011-12-05T16:02:00Z</cp:lastPrinted>
  <dcterms:created xsi:type="dcterms:W3CDTF">2011-12-05T15:42:00Z</dcterms:created>
  <dcterms:modified xsi:type="dcterms:W3CDTF">2011-12-05T16:03:00Z</dcterms:modified>
</cp:coreProperties>
</file>