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Unijna zmiana prawna otworzy drzwi dla nielegalnego drewna z Rosji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Organizacja non-profit Earthsight ostrzega, że wprowadzenie kategorii „braku ryzyka” zgodnie z proponowanymi zmianami w unijnym rozporządzeniu w sprawie wylesiania (EUDR) stworzyłoby lukę, która utrudniłaby polskim służbom walkę z przemytem oraz osłabiłaby unijne sankcje na rosyjskie i białoruskie drewno.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Earthsight ujawnia, że państwa członkowskie UE sprowadziły z Rosji i Białorusi nielegalną sklejkę brzozową o wartości przekraczającej 1,5 mld euro. Z kolei Polska, która wcześniej była jednym z głównych punktów przerzutowych nielegalnego drewna, po zdecydowanym zaostrzeniu kontroli w 2024 r. spadła na jedno z ostatnich miejsc.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Eksperci wskazują, że ośmiu z dziesięciu największych importerów drewna niejasnego pochodzenia należy obecnie do grupy państw forsujących wprowadzenie do EUDR kategorii „braku ryzyka” – są to Portugalia, Estonia, Włochy, Chorwacja, Słowenia, Czechy, Bułgaria i Polska.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ile część posłów do Parlamentu Europejskiego oraz niektórzy ministrowie rolnictwa popierają proponowane zmiany, eksperci ostrzegają, że decydenci mogą nie zdawać sobie w pełni sprawy z konsekwencji takiego rozwiązania.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Organizacja badawcza Earthsight ostrzega, że wprowadzenie kategorii „braku ryzyka” w systemie klasyfikacji krajów w ramach EUDR – co obecnie proponują niektóre państwa członkowskie UE – zmniejszy skuteczność unijnych sankcji na drewno pochodzące z Rosji i Białorusi, a także utrudni działania podejmowane na poziomie krajowym mające zatrzymać napływ nielegalnych przesyłek na polski rynek.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opublikowanej dziś analizie organizacja (znana ze szczegółowych dochodzeń na temat nielegalnego handlu drewnem i towarami rolnymi) wyjaśnia, że wprowadzenie kategorii „braku ryzyka” mogłoby doprowadzić do zniesienia przez państwa UE kontroli towarów sprowadzanych z krajów o niskim poziomie wylesiania – chociaż śledztwa wykazały, że nielegalne drewno z Rosji i Białorusi jest już przemycane przez terytorium niektórych z tych państw. Wprowadzenie wspomnianej kategorii grozi zniweczeniem efektów działań polskich służb, które w ostatnim czasie znacząco ograniczyły napływ nielegalnego drewna rosyjskiego przez terytorium kraju.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Eksperci wskazują, że spośród dziesięciu największych importerów drewna niewiadomego pochodzenia ośmiu należy do grupy państw forsujących wprowadzenie do EUDR kategorii „braku ryzyka” – są to Portugalia, Estonia, Włochy, Chorwacja, Słowenia, Czechy, Bułgaria i Polska. Powyższe państwa razem odpowiadają za ponad 67% całkowitego importu drewna konfliktowego do UE, wartego łącznie 1,27 mld euro.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wyniku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śledztwa pod przykryciem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opublikowanego przez Earthsight w styczniu tego roku ujawniono, że kraje UE stały się punktami wejścia dla rosyjskiego i białoruskiego drewna objętego sankcjami (którego import jest zakazany). Dochodzenie wykazało, że przemytnicy przepakowywali rosyjską i białoruską sklejkę brzozową oraz zmieniali jej oznakowanie w państwach trzecich: Turcji, Gruzji, Kazachstanie czy Chinach, posługując się fałszywymi certyfikatami pochodzenia. Towary te trafiały następnie na rynek UE za pośrednictwem krajów o słabym systemie kontroli, całkowicie omijając sankcje i przepisy dotyczące ochrony środowiska. Według raportu od momentu wejścia sankcji w życie w 2022 r. wartość sklejki brzozowej sprowadzonej przez UE z Rosji i Białorusi przekroczyła 1,5 mld euro – przy czym żadne państwo nie uniknęło importu towarów naruszających sankcje.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ostatnim czasie Polska podjęła zaczęła zdecydowanie przeciwdziałać temu procederowi, dzięki czemu przestała być jednym z głównych punktów wejścia dla drewna rosyjskiego na rynek UE. Eksperci podkreślają jednak, że proponowane zmiany mogłyby doprowadzić do ponownego niekontrolowanego napływu drewna z Rosji, co nie tylko zmniejszyłoby skuteczność sankcji, lecz także zaszkodziłoby polskim przedsiębiorstwom.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Zdaniem specjalistów obecne mechanizmy – rozporządzenie UE w sprawie drewna (EUTR) oraz krajowe systemy egzekwowania sankcji – zostałyby istotnie wzmocnione przez nowe rozporządzenie EUDR, które w celu uszczelnienia reżimu sankcyjnego wprowadziłoby dodatkowe narzędzia i obowiązek identyfikowalności. Jednocześnie ostrzegają, że proponowana kategoria „braku ryzyka” zwolniłaby importerów drewna korzystających z krajów tranzytowych z obowiązku stosowania geolokalizacji i należytej staranności. Ponadto zostałby zniesiony obowiązek prowadzenia minimalnych kontroli przez organy unijne, co ułatwiłoby sprowadzanie przemycanych towarów do Polski i na terytorium całej UE.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Augustyn Mikos, ekspert ds. polityki leśnej ze Stowarzyszenia Pracownia na rzecz Wszystkich Istot: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Proponowana kategoria „braku ryzyka” w rzeczywistości to ryzyko stwarza. Widzimy, że nie tylko jest sprzeczna z duchem prawa w części dotyczącej wylesiania i degradacji lasów w UE i poza jej granicami, ale także oznacza, że Unia i Polska nie przestrzegają sankcji nałożonych na Rosji. Wszelkie osłabienie mechanizmów egzekwowania prawa w zakresie przemytu to ogromne zagrożenie dla europejskich leśników i lasów na całym świecie.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Tara Ganesh, kierowniczka zespołu Earthsight ds. drewna, sankcji i lasów północnych: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Nieustanny napływ nielegalnego drewna nie tylko zagraża klimatowi, ale także zasila kieszenie podżegaczom wojennym i szkodzi unijnym przedsiębiorstwom. UE będzie współwinna tych szkód, jeśli nie zapewni nienaruszalności EUDR i skutecznego egzekwowania rozporządzenia. Propozycja stworzenia tak poważnej luki w przepisach to cios wymierzony w nasze wsparcie dla Ukrainy.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Hannah Mowat, organizatorka kampanii Fern na rzecz zrównoważonej konsumpcji i produkcji: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– Warto pamiętać, że Chiny – według kryteriów proponowanych przez zwolenników zmian – zostałyby przypisane do kategorii „braku ryzyka’”. Właśnie dlatego europejscy producenci drewna mówią nam, że ta zmiana oznaczałaby dla nich katastrofę, ponieważ nadal musieliby konkurować z produktami rosyjskimi przerzucanymi przez Chiny. Kategoria „braku ryzyka” nie tylko podważa sens rozporządzenia, ale też poważnie osłabia skuteczność unijnych sankcji wobec Rosji.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KONIEC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Uwagi dla dziennikarzy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Wywiadów udzielają poniżsi przedstawiciele: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Tara Ganesh, kierowniczka zespołu Earthsight ds. drewna, sankcji i lasów północnych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Hannah Mowat, koordynatorka kampanii Fern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Augustyn Mikos, ekspert ds. polityki leśnej ze Stowarzyszenia Pracownia na rzecz Wszystkich Istot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Aby umówić wywiad z naszymi przedstawicielami, prosimy o kontakt: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Yiannis Baboulias, yiannis@89up.org, +447862793392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Zachęcamy do zapoznania się z oświadczeniami firm: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276" w:lineRule="auto"/>
        <w:ind w:left="720" w:hanging="36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Stanowisko międzysektorowe firm z Francji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Stanowisko międzysektorowe firm z Niemiec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Oświadczenie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Barry Callebaut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Oświadczenie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Tchibo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7180" w:w="12260" w:orient="portrait"/>
      <w:pgMar w:bottom="280" w:top="1620" w:left="1200" w:right="1720" w:header="0" w:footer="17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-769619</wp:posOffset>
          </wp:positionH>
          <wp:positionV relativeFrom="paragraph">
            <wp:posOffset>-13969</wp:posOffset>
          </wp:positionV>
          <wp:extent cx="7818120" cy="1272540"/>
          <wp:effectExtent b="0" l="0" r="0" t="0"/>
          <wp:wrapNone/>
          <wp:docPr descr="Obraz zawierający tekst, zrzut ekranu, pismo odręczne, Czcionka" id="1199950907" name="image1.jpg"/>
          <a:graphic>
            <a:graphicData uri="http://schemas.openxmlformats.org/drawingml/2006/picture">
              <pic:pic>
                <pic:nvPicPr>
                  <pic:cNvPr descr="Obraz zawierający tekst, zrzut ekranu, pismo odręczne, Czcionka" id="0" name="image1.jpg"/>
                  <pic:cNvPicPr preferRelativeResize="0"/>
                </pic:nvPicPr>
                <pic:blipFill>
                  <a:blip r:embed="rId1"/>
                  <a:srcRect b="962" l="194" r="-5" t="87552"/>
                  <a:stretch>
                    <a:fillRect/>
                  </a:stretch>
                </pic:blipFill>
                <pic:spPr>
                  <a:xfrm>
                    <a:off x="0" y="0"/>
                    <a:ext cx="7818120" cy="12725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-915987</wp:posOffset>
          </wp:positionH>
          <wp:positionV relativeFrom="paragraph">
            <wp:posOffset>0</wp:posOffset>
          </wp:positionV>
          <wp:extent cx="7758953" cy="1148015"/>
          <wp:effectExtent b="0" l="0" r="0" t="0"/>
          <wp:wrapNone/>
          <wp:docPr descr="Obraz zawierający tekst, zrzut ekranu, pismo odręczne, Czcionka&#10;&#10;Zawartość wygenerowana przez sztuczną inteligencję może być niepoprawna." id="1199950906" name="image2.jpg"/>
          <a:graphic>
            <a:graphicData uri="http://schemas.openxmlformats.org/drawingml/2006/picture">
              <pic:pic>
                <pic:nvPicPr>
                  <pic:cNvPr descr="Obraz zawierający tekst, zrzut ekranu, pismo odręczne, Czcionka&#10;&#10;Zawartość wygenerowana przez sztuczną inteligencję może być niepoprawna." id="0" name="image2.jpg"/>
                  <pic:cNvPicPr preferRelativeResize="0"/>
                </pic:nvPicPr>
                <pic:blipFill>
                  <a:blip r:embed="rId1"/>
                  <a:srcRect b="88598" l="0" r="0" t="939"/>
                  <a:stretch>
                    <a:fillRect/>
                  </a:stretch>
                </pic:blipFill>
                <pic:spPr>
                  <a:xfrm>
                    <a:off x="0" y="0"/>
                    <a:ext cx="7758953" cy="1148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TreA" w:customStyle="1">
    <w:name w:val="Treść A"/>
    <w:pPr>
      <w:widowControl w:val="0"/>
    </w:pPr>
    <w:rPr>
      <w:rFonts w:ascii="Montserrat Light" w:cs="Arial Unicode MS" w:hAnsi="Montserrat Light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BodyText">
    <w:name w:val="Body Text"/>
    <w:pPr>
      <w:widowControl w:val="0"/>
    </w:pPr>
    <w:rPr>
      <w:rFonts w:ascii="Montserrat Light" w:cs="Montserrat Light" w:eastAsia="Montserrat Light" w:hAnsi="Montserrat Light"/>
      <w:color w:val="000000"/>
      <w:sz w:val="19"/>
      <w:szCs w:val="19"/>
      <w:u w:color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F3626A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bdr w:color="auto" w:space="0" w:sz="0" w:val="none"/>
      <w:lang w:eastAsia="pl-PL" w:val="pl-PL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F3626A"/>
    <w:rPr>
      <w:rFonts w:ascii="Courier New" w:cs="Courier New" w:eastAsia="Times New Roman" w:hAnsi="Courier New"/>
      <w:bdr w:color="auto" w:space="0" w:sz="0" w:val="none"/>
    </w:rPr>
  </w:style>
  <w:style w:type="paragraph" w:styleId="Header">
    <w:name w:val="header"/>
    <w:basedOn w:val="Normal"/>
    <w:link w:val="HeaderChar"/>
    <w:uiPriority w:val="99"/>
    <w:unhideWhenUsed w:val="1"/>
    <w:rsid w:val="002A01BB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01BB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2A01BB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01BB"/>
    <w:rPr>
      <w:sz w:val="24"/>
      <w:szCs w:val="24"/>
      <w:lang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825A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chibo.com/de/de/news/tchibo-fordert-umsetzung-eudr" TargetMode="External"/><Relationship Id="rId10" Type="http://schemas.openxmlformats.org/officeDocument/2006/relationships/hyperlink" Target="https://www.barry-callebaut.com/en/about-us/media/news-stories/navigating-eudr-position-recent-eudr-developments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bbyregister.bundestag.de/informationen-und-hilfe/hinweise-zum-urheberrecht?documentUrl=/media/c2/af/537838/Stellungnahme-Gutachten-SG2506130010.pdf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arthsight.org.uk/blood-stained-birch" TargetMode="External"/><Relationship Id="rId8" Type="http://schemas.openxmlformats.org/officeDocument/2006/relationships/hyperlink" Target="https://alliance-preservation-forets.org/app/uploads/2025/07/letter_EUDR-to-publish_03072025-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BMGeXV1xB2yKzaHu85Lxrh+YQ==">CgMxLjA4AHIhMWg1Sy1oSWE5Y1ZFa3IyOXpMZlZubkRLQUVBQTRzNE4x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2025-07-12T06:49:00Z</dcterms:created>
  <dc:creator>Matylda Setlak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a8cf2d671207b1a52e45e9af2115f364f8b10fdf00353a446a601d6db536134f</vt:lpwstr>
  </property>
</Properties>
</file>