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F7" w:rsidRDefault="00390BF5" w:rsidP="00A95423">
      <w:pPr>
        <w:ind w:left="2832" w:firstLine="708"/>
      </w:pPr>
      <w:r>
        <w:t>Finanse Polaków w Internecie</w:t>
      </w:r>
    </w:p>
    <w:p w:rsidR="000329F7" w:rsidRDefault="000329F7" w:rsidP="000329F7">
      <w:pPr>
        <w:jc w:val="center"/>
        <w:rPr>
          <w:i/>
        </w:rPr>
      </w:pPr>
      <w:r>
        <w:rPr>
          <w:i/>
        </w:rPr>
        <w:t>Polscy konsumenci</w:t>
      </w:r>
      <w:r w:rsidR="00390BF5">
        <w:rPr>
          <w:i/>
        </w:rPr>
        <w:t xml:space="preserve"> coraz częściej korzystają z e-finansów</w:t>
      </w:r>
    </w:p>
    <w:p w:rsidR="00184F54" w:rsidRDefault="003058B3" w:rsidP="004C4F3B">
      <w:pPr>
        <w:jc w:val="both"/>
        <w:rPr>
          <w:b/>
        </w:rPr>
      </w:pPr>
      <w:r>
        <w:rPr>
          <w:b/>
        </w:rPr>
        <w:t xml:space="preserve">Liczne badania pokazują, że Polacy coraz bardziej przekonują się do </w:t>
      </w:r>
      <w:proofErr w:type="spellStart"/>
      <w:r>
        <w:rPr>
          <w:b/>
        </w:rPr>
        <w:t>fintechowych</w:t>
      </w:r>
      <w:proofErr w:type="spellEnd"/>
      <w:r>
        <w:rPr>
          <w:b/>
        </w:rPr>
        <w:t xml:space="preserve"> rozwiązań oferowanych online. Nie ma się czemu dziwić - żyjemy w pośpiechu, wiele spraw załatwiając właśnie przy pomocy Internetu i aplikacji mobilnych. Cenimy sobie </w:t>
      </w:r>
      <w:r w:rsidR="00E952A1">
        <w:rPr>
          <w:b/>
        </w:rPr>
        <w:t>wygodę, ł</w:t>
      </w:r>
      <w:r w:rsidR="004C4F3B">
        <w:rPr>
          <w:b/>
        </w:rPr>
        <w:t xml:space="preserve">atwość </w:t>
      </w:r>
      <w:r>
        <w:rPr>
          <w:b/>
        </w:rPr>
        <w:t xml:space="preserve">w dostępie oraz obsłudze oferowanych nam usług. </w:t>
      </w:r>
      <w:r w:rsidR="00B83058">
        <w:rPr>
          <w:b/>
        </w:rPr>
        <w:t xml:space="preserve">Nie inaczej jest z finansami. Płatności, rozliczanie faktur, zaciąganie zobowiązań, bankowość – codziennie </w:t>
      </w:r>
      <w:r w:rsidR="00A50B85">
        <w:rPr>
          <w:b/>
        </w:rPr>
        <w:t>każdy z nas ma z tym styczność</w:t>
      </w:r>
      <w:r w:rsidR="00B83058">
        <w:rPr>
          <w:b/>
        </w:rPr>
        <w:t>, dlatego też najwięksi gr</w:t>
      </w:r>
      <w:r w:rsidR="00A50B85">
        <w:rPr>
          <w:b/>
        </w:rPr>
        <w:t>acze rynku finansowego konkurują</w:t>
      </w:r>
      <w:r w:rsidR="00B83058">
        <w:rPr>
          <w:b/>
        </w:rPr>
        <w:t xml:space="preserve">, by sprostać stale rosnącym wymaganiom klientów. </w:t>
      </w:r>
      <w:r w:rsidR="002128B7">
        <w:rPr>
          <w:b/>
        </w:rPr>
        <w:t xml:space="preserve"> </w:t>
      </w:r>
      <w:r w:rsidR="00A50B85">
        <w:rPr>
          <w:b/>
        </w:rPr>
        <w:t xml:space="preserve">Jaki stosunek do finansowych innowacji mają Polacy? Z jakich produktów korzystają najchętniej, a do których brak im jeszcze przekonania? </w:t>
      </w:r>
    </w:p>
    <w:p w:rsidR="00184F54" w:rsidRPr="003C74F0" w:rsidRDefault="00184F54" w:rsidP="00184F54">
      <w:pPr>
        <w:jc w:val="both"/>
        <w:rPr>
          <w:b/>
        </w:rPr>
      </w:pPr>
      <w:r w:rsidRPr="003C74F0">
        <w:rPr>
          <w:b/>
        </w:rPr>
        <w:t>Co my wiemy o pieniądzach?</w:t>
      </w:r>
    </w:p>
    <w:p w:rsidR="003C74F0" w:rsidRDefault="00184F54" w:rsidP="00184F54">
      <w:pPr>
        <w:jc w:val="both"/>
      </w:pPr>
      <w:r w:rsidRPr="003C74F0">
        <w:t xml:space="preserve">Wszystko ma swój początek w posiadanej wiedzy i świadomości na temat finansów i produktów z nimi związanych. </w:t>
      </w:r>
      <w:r w:rsidR="003D35CD" w:rsidRPr="003C74F0">
        <w:t xml:space="preserve">Badanie banku Millenium „pokolenie Millenium w świecie finansów i nowych technologii, na tle generacji X i Z” wskazuje, że </w:t>
      </w:r>
      <w:r w:rsidR="003C74F0" w:rsidRPr="003C74F0">
        <w:t xml:space="preserve">niespełna 90 proc. Polaków korzysta na co dzień z </w:t>
      </w:r>
      <w:proofErr w:type="spellStart"/>
      <w:r w:rsidR="003C74F0" w:rsidRPr="003C74F0">
        <w:t>fintechów</w:t>
      </w:r>
      <w:proofErr w:type="spellEnd"/>
      <w:r w:rsidR="003C74F0" w:rsidRPr="003C74F0">
        <w:t xml:space="preserve">, nawet o tym nie wiedząc, a zaledwie 15,5 proc. respondentów skorzystało choć raz z tego typu rozwiązań. </w:t>
      </w:r>
      <w:r w:rsidR="005508ED" w:rsidRPr="003C74F0">
        <w:t>Wiele zależy również od chęci i przekonania się do coraz bardziej innow</w:t>
      </w:r>
      <w:r w:rsidR="003C74F0" w:rsidRPr="003C74F0">
        <w:t>acyjnych produktów finansowych.</w:t>
      </w:r>
      <w:r w:rsidR="003C74F0">
        <w:t xml:space="preserve"> </w:t>
      </w:r>
      <w:r w:rsidR="003C74F0" w:rsidRPr="003C74F0">
        <w:t xml:space="preserve">Badanie przeprowadzone przez </w:t>
      </w:r>
      <w:proofErr w:type="spellStart"/>
      <w:r w:rsidR="003C74F0" w:rsidRPr="003C74F0">
        <w:t>Satisface</w:t>
      </w:r>
      <w:proofErr w:type="spellEnd"/>
      <w:r w:rsidR="003C74F0" w:rsidRPr="003C74F0">
        <w:t xml:space="preserve"> na zlecenie Blue Media wykazało, że jedynie 6 proc. respondentów byłoby skłonnych skorzystać z usług finansowych, oferowanych przez inne niż finansowe instytucje. </w:t>
      </w:r>
      <w:r w:rsidR="0079585C">
        <w:t>Sceptycznie nastawione są w szczególności starsze pokolenia</w:t>
      </w:r>
      <w:r w:rsidR="003C74F0" w:rsidRPr="003C74F0">
        <w:t xml:space="preserve"> (aż 85 proc. respondentów w wieku 36-65 lat), które przyzwyczajon</w:t>
      </w:r>
      <w:r w:rsidR="001A0A12">
        <w:t>e są do tradycyjnej bankowości.</w:t>
      </w:r>
    </w:p>
    <w:p w:rsidR="00184F54" w:rsidRPr="00322736" w:rsidRDefault="0079585C" w:rsidP="004C4F3B">
      <w:pPr>
        <w:jc w:val="both"/>
      </w:pPr>
      <w:r w:rsidRPr="00647C12">
        <w:rPr>
          <w:i/>
        </w:rPr>
        <w:t>„</w:t>
      </w:r>
      <w:r w:rsidR="00496937" w:rsidRPr="00647C12">
        <w:rPr>
          <w:i/>
        </w:rPr>
        <w:t>Nie próbując nowych produktów finansowych</w:t>
      </w:r>
      <w:r w:rsidRPr="00647C12">
        <w:rPr>
          <w:i/>
        </w:rPr>
        <w:t>, nie jes</w:t>
      </w:r>
      <w:r w:rsidR="00496937" w:rsidRPr="00647C12">
        <w:rPr>
          <w:i/>
        </w:rPr>
        <w:t>teśmy w stanie ocenić, czy proponowane rozwiązania</w:t>
      </w:r>
      <w:r w:rsidRPr="00647C12">
        <w:rPr>
          <w:i/>
        </w:rPr>
        <w:t xml:space="preserve"> nie by</w:t>
      </w:r>
      <w:r w:rsidR="004170B1" w:rsidRPr="00647C12">
        <w:rPr>
          <w:i/>
        </w:rPr>
        <w:t xml:space="preserve">łyby lepsze od dotychczasowych. </w:t>
      </w:r>
      <w:r w:rsidR="00496937" w:rsidRPr="00647C12">
        <w:rPr>
          <w:i/>
        </w:rPr>
        <w:t>Polaków - zwłaszcza starsze pokolenia – ciężko jest przekonać do zmian</w:t>
      </w:r>
      <w:r w:rsidR="004170B1" w:rsidRPr="00647C12">
        <w:rPr>
          <w:i/>
        </w:rPr>
        <w:t xml:space="preserve">, a duży w tym udział ma </w:t>
      </w:r>
      <w:r w:rsidR="00496937" w:rsidRPr="00647C12">
        <w:rPr>
          <w:i/>
        </w:rPr>
        <w:t>nieświadomość</w:t>
      </w:r>
      <w:r w:rsidR="004170B1" w:rsidRPr="00647C12">
        <w:rPr>
          <w:i/>
        </w:rPr>
        <w:t xml:space="preserve"> na temat rynku finansowego, co w rezultacie skutkuje brakiem zaufania do instytucji innych, niż bankowe</w:t>
      </w:r>
      <w:r w:rsidR="00496937" w:rsidRPr="00647C12">
        <w:rPr>
          <w:i/>
        </w:rPr>
        <w:t>.</w:t>
      </w:r>
      <w:r w:rsidR="004170B1" w:rsidRPr="00647C12">
        <w:rPr>
          <w:i/>
        </w:rPr>
        <w:t xml:space="preserve"> Edukacja w tej kwestii stanowi klucz do wszelkich działań zarówno sektora finansowego jak i jego konsumentów. Szerząc wiedzę na ten temat, </w:t>
      </w:r>
      <w:proofErr w:type="spellStart"/>
      <w:r w:rsidR="004170B1" w:rsidRPr="00647C12">
        <w:rPr>
          <w:i/>
        </w:rPr>
        <w:t>fintechy</w:t>
      </w:r>
      <w:proofErr w:type="spellEnd"/>
      <w:r w:rsidR="004170B1" w:rsidRPr="00647C12">
        <w:rPr>
          <w:i/>
        </w:rPr>
        <w:t xml:space="preserve"> będą w stanie dostarczać klientom coraz to lepszych produktów, a klienci – wykorzystywać ich maksymalny potencjał.”</w:t>
      </w:r>
      <w:r w:rsidR="00647C12">
        <w:t xml:space="preserve"> </w:t>
      </w:r>
      <w:r w:rsidR="004170B1">
        <w:t xml:space="preserve">– komentuje </w:t>
      </w:r>
      <w:r w:rsidR="00D43E9B">
        <w:t xml:space="preserve">Martyna </w:t>
      </w:r>
      <w:proofErr w:type="spellStart"/>
      <w:r w:rsidR="00D43E9B">
        <w:t>Długoszewska</w:t>
      </w:r>
      <w:proofErr w:type="spellEnd"/>
      <w:r w:rsidR="00D43E9B">
        <w:t xml:space="preserve">, ekspert ds. wizerunku </w:t>
      </w:r>
      <w:r w:rsidR="00047E86">
        <w:fldChar w:fldCharType="begin"/>
      </w:r>
      <w:r w:rsidR="00047E86">
        <w:instrText xml:space="preserve"> HYPERLINK "https://loando.pl/" </w:instrText>
      </w:r>
      <w:r w:rsidR="00047E86">
        <w:fldChar w:fldCharType="separate"/>
      </w:r>
      <w:r w:rsidR="00D43E9B" w:rsidRPr="00047E86">
        <w:rPr>
          <w:rStyle w:val="Hipercze"/>
        </w:rPr>
        <w:t>Loando.pl</w:t>
      </w:r>
      <w:r w:rsidR="00047E86">
        <w:fldChar w:fldCharType="end"/>
      </w:r>
      <w:bookmarkStart w:id="0" w:name="_GoBack"/>
      <w:bookmarkEnd w:id="0"/>
      <w:r w:rsidR="00D43E9B">
        <w:t xml:space="preserve">.  </w:t>
      </w:r>
    </w:p>
    <w:p w:rsidR="00470F40" w:rsidRDefault="00D4562E" w:rsidP="004C4F3B">
      <w:pPr>
        <w:jc w:val="both"/>
        <w:rPr>
          <w:b/>
        </w:rPr>
      </w:pPr>
      <w:r>
        <w:rPr>
          <w:b/>
        </w:rPr>
        <w:t xml:space="preserve">Od oddziału do Internetu </w:t>
      </w:r>
    </w:p>
    <w:p w:rsidR="00D4562E" w:rsidRDefault="00D4562E" w:rsidP="002A4DE1">
      <w:pPr>
        <w:jc w:val="both"/>
      </w:pPr>
      <w:r>
        <w:t xml:space="preserve">Usługi finansowe nie zwalniają tempa, stale się rozwijając. W zapomnienie odchodzą powoli oddziały bankowe czy pożyczkowe, miejsca ustępując rozwiązaniom mobilnym – a przynajmniej jeśli chodzi o obsługę podstawowych kwestii finansowych, takich jak </w:t>
      </w:r>
      <w:proofErr w:type="spellStart"/>
      <w:r w:rsidR="002A67CE">
        <w:t>pay</w:t>
      </w:r>
      <w:proofErr w:type="spellEnd"/>
      <w:r w:rsidR="002A67CE">
        <w:t>-by-linki, przelewy czy polecenia zapłaty</w:t>
      </w:r>
      <w:r w:rsidR="002A67CE">
        <w:rPr>
          <w:rStyle w:val="Odwoanieprzypisudolnego"/>
        </w:rPr>
        <w:footnoteReference w:id="1"/>
      </w:r>
      <w:r>
        <w:t>.</w:t>
      </w:r>
      <w:r w:rsidR="00A67FD4">
        <w:t xml:space="preserve"> </w:t>
      </w:r>
      <w:r w:rsidR="006A202B">
        <w:t>Obecnie</w:t>
      </w:r>
      <w:r w:rsidR="001A0A12">
        <w:t xml:space="preserve"> z bankowości mobilnej przy obsłudze transakcji płatniczych korzysta już ponad 20 proc. klientów spośród blisko 8 milionów Polaków korzystających z bankowości online</w:t>
      </w:r>
      <w:r w:rsidR="001A0A12">
        <w:rPr>
          <w:rStyle w:val="Odwoanieprzypisudolnego"/>
        </w:rPr>
        <w:footnoteReference w:id="2"/>
      </w:r>
      <w:r w:rsidR="001A0A12">
        <w:t>, natomiast w</w:t>
      </w:r>
      <w:r>
        <w:t>edług szacunków</w:t>
      </w:r>
      <w:r w:rsidR="00F30FE6" w:rsidRPr="00D76FE0">
        <w:t xml:space="preserve"> </w:t>
      </w:r>
      <w:proofErr w:type="spellStart"/>
      <w:r w:rsidR="00A67FD4">
        <w:t>PwC</w:t>
      </w:r>
      <w:proofErr w:type="spellEnd"/>
      <w:r w:rsidR="00A67FD4">
        <w:t xml:space="preserve">, już za około 5 lat kanały online </w:t>
      </w:r>
      <w:r w:rsidR="00F30FE6" w:rsidRPr="00D76FE0">
        <w:t xml:space="preserve">staną się  w Polsce głównym sposobem komunikacji </w:t>
      </w:r>
      <w:r w:rsidR="00A67FD4">
        <w:t xml:space="preserve">na linii klient – instytucja finansowa. </w:t>
      </w:r>
    </w:p>
    <w:p w:rsidR="00C34744" w:rsidRDefault="00C34744" w:rsidP="002A4DE1">
      <w:pPr>
        <w:jc w:val="both"/>
      </w:pPr>
    </w:p>
    <w:p w:rsidR="00C34744" w:rsidRDefault="00C34744" w:rsidP="002A4DE1">
      <w:pPr>
        <w:jc w:val="both"/>
      </w:pPr>
    </w:p>
    <w:p w:rsidR="002A67CE" w:rsidRDefault="002A67CE" w:rsidP="002A4DE1">
      <w:pPr>
        <w:jc w:val="both"/>
        <w:rPr>
          <w:b/>
        </w:rPr>
      </w:pPr>
      <w:r>
        <w:rPr>
          <w:b/>
        </w:rPr>
        <w:lastRenderedPageBreak/>
        <w:t xml:space="preserve">Co z tymi </w:t>
      </w:r>
      <w:r w:rsidR="005A70F3">
        <w:rPr>
          <w:b/>
        </w:rPr>
        <w:t xml:space="preserve">zobowiązaniami? </w:t>
      </w:r>
    </w:p>
    <w:p w:rsidR="00ED0C50" w:rsidRPr="00DD4ACD" w:rsidRDefault="004063AE" w:rsidP="00ED0C50">
      <w:pPr>
        <w:jc w:val="both"/>
      </w:pPr>
      <w:r w:rsidRPr="00DD6B11">
        <w:t xml:space="preserve">O pożyczkach online mówi się coraz częściej, toteż zainteresowanie nimi stale rośnie. Są one atrakcyjną opcją dla osób, które cenią sobie </w:t>
      </w:r>
      <w:r w:rsidR="00DD6B11">
        <w:t xml:space="preserve">wygodne, szybkie rozwiązania przy </w:t>
      </w:r>
      <w:r w:rsidR="00C72BA0" w:rsidRPr="00DD6B11">
        <w:t>minimum formalności. Już teraz szacuje się, że około 30 proc. pożyczek online za</w:t>
      </w:r>
      <w:r w:rsidR="00795B3D" w:rsidRPr="00DD6B11">
        <w:t xml:space="preserve">ciąganych jest przez </w:t>
      </w:r>
      <w:proofErr w:type="spellStart"/>
      <w:r w:rsidR="00795B3D" w:rsidRPr="00DD6B11">
        <w:t>smartfona</w:t>
      </w:r>
      <w:proofErr w:type="spellEnd"/>
      <w:r w:rsidR="00795B3D" w:rsidRPr="00DD6B11">
        <w:t xml:space="preserve">, a znaczną część </w:t>
      </w:r>
      <w:r w:rsidR="00DD6B11">
        <w:t xml:space="preserve">pożyczkobiorców (37 proc.) stanowią osoby w grupie wiekowej od 20 do 30 lat. W aspekcie pożyczania edukacja również stanowi bardzo ważną kwestię. Znajomość praw przysługujących konsumentowi w momencie zaciągania zobowiązania powinna być </w:t>
      </w:r>
      <w:r w:rsidR="00ED0C50">
        <w:t>podstaw</w:t>
      </w:r>
      <w:r w:rsidR="00DD6B11">
        <w:t xml:space="preserve">ą edukacji finansowej. </w:t>
      </w:r>
      <w:r w:rsidR="00ED0C50">
        <w:t xml:space="preserve">A ta – pozostawia wiele do życzenia, bowiem badanie zrealizowane przez Wongę </w:t>
      </w:r>
      <w:r w:rsidR="00ED0C50" w:rsidRPr="00DD4ACD">
        <w:t xml:space="preserve">pokazuje, </w:t>
      </w:r>
      <w:r w:rsidR="00ED0C50">
        <w:t xml:space="preserve">że wciąż ponad 25 proc. Polaków </w:t>
      </w:r>
      <w:r w:rsidR="00ED0C50" w:rsidRPr="00DD4ACD">
        <w:t>nie zdaje sobie sprawy, jakie informacje powinny zostać mu udzielone przed przyznaniem finansowania. Ponadto, aż 13 proc. respondentów uważa, że po przyznaniu kredytu nie przysługuj</w:t>
      </w:r>
      <w:r w:rsidR="00ED0C50">
        <w:t xml:space="preserve">ą mu żadne prawa. </w:t>
      </w:r>
    </w:p>
    <w:p w:rsidR="00643A4E" w:rsidRPr="002E7495" w:rsidRDefault="00643A4E" w:rsidP="00841747"/>
    <w:sectPr w:rsidR="00643A4E" w:rsidRPr="002E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68" w:rsidRDefault="00F91E68" w:rsidP="00695EF3">
      <w:pPr>
        <w:spacing w:after="0" w:line="240" w:lineRule="auto"/>
      </w:pPr>
      <w:r>
        <w:separator/>
      </w:r>
    </w:p>
  </w:endnote>
  <w:endnote w:type="continuationSeparator" w:id="0">
    <w:p w:rsidR="00F91E68" w:rsidRDefault="00F91E68" w:rsidP="006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68" w:rsidRDefault="00F91E68" w:rsidP="00695EF3">
      <w:pPr>
        <w:spacing w:after="0" w:line="240" w:lineRule="auto"/>
      </w:pPr>
      <w:r>
        <w:separator/>
      </w:r>
    </w:p>
  </w:footnote>
  <w:footnote w:type="continuationSeparator" w:id="0">
    <w:p w:rsidR="00F91E68" w:rsidRDefault="00F91E68" w:rsidP="00695EF3">
      <w:pPr>
        <w:spacing w:after="0" w:line="240" w:lineRule="auto"/>
      </w:pPr>
      <w:r>
        <w:continuationSeparator/>
      </w:r>
    </w:p>
  </w:footnote>
  <w:footnote w:id="1">
    <w:p w:rsidR="002A67CE" w:rsidRDefault="002A67CE">
      <w:pPr>
        <w:pStyle w:val="Tekstprzypisudolnego"/>
      </w:pPr>
      <w:r>
        <w:rPr>
          <w:rStyle w:val="Odwoanieprzypisudolnego"/>
        </w:rPr>
        <w:footnoteRef/>
      </w:r>
      <w:r>
        <w:t xml:space="preserve"> Badanie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Polska</w:t>
      </w:r>
    </w:p>
  </w:footnote>
  <w:footnote w:id="2">
    <w:p w:rsidR="001A0A12" w:rsidRDefault="001A0A12" w:rsidP="001A0A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3D7DFE">
        <w:t>http://prnews.pl/raporty/raport-prnewspl-rynek-bankowosci-mobilnej-iv-kw-2016-6553798.html</w:t>
      </w:r>
    </w:p>
    <w:p w:rsidR="001A0A12" w:rsidRDefault="001A0A1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47"/>
    <w:rsid w:val="000329F7"/>
    <w:rsid w:val="00047E86"/>
    <w:rsid w:val="00141CB4"/>
    <w:rsid w:val="00152990"/>
    <w:rsid w:val="00184F54"/>
    <w:rsid w:val="001A0A12"/>
    <w:rsid w:val="002128B7"/>
    <w:rsid w:val="002168CD"/>
    <w:rsid w:val="00285CDD"/>
    <w:rsid w:val="002A4DE1"/>
    <w:rsid w:val="002A67CE"/>
    <w:rsid w:val="0030493C"/>
    <w:rsid w:val="003058B3"/>
    <w:rsid w:val="00322736"/>
    <w:rsid w:val="00385E2E"/>
    <w:rsid w:val="00390BF5"/>
    <w:rsid w:val="003C74F0"/>
    <w:rsid w:val="003D35CD"/>
    <w:rsid w:val="004063AE"/>
    <w:rsid w:val="004170B1"/>
    <w:rsid w:val="00432375"/>
    <w:rsid w:val="00470F40"/>
    <w:rsid w:val="0049502C"/>
    <w:rsid w:val="00496937"/>
    <w:rsid w:val="004C4F3B"/>
    <w:rsid w:val="004F65CB"/>
    <w:rsid w:val="00516D32"/>
    <w:rsid w:val="00536536"/>
    <w:rsid w:val="005508ED"/>
    <w:rsid w:val="00557F26"/>
    <w:rsid w:val="00561136"/>
    <w:rsid w:val="00576715"/>
    <w:rsid w:val="0058224B"/>
    <w:rsid w:val="005A5FB6"/>
    <w:rsid w:val="005A70F3"/>
    <w:rsid w:val="005F13A7"/>
    <w:rsid w:val="00605A0E"/>
    <w:rsid w:val="00643A4E"/>
    <w:rsid w:val="00647C12"/>
    <w:rsid w:val="00674EFE"/>
    <w:rsid w:val="00695EF3"/>
    <w:rsid w:val="006A202B"/>
    <w:rsid w:val="00762A66"/>
    <w:rsid w:val="00786315"/>
    <w:rsid w:val="0079585C"/>
    <w:rsid w:val="00795B3D"/>
    <w:rsid w:val="007D45EB"/>
    <w:rsid w:val="00826407"/>
    <w:rsid w:val="00841747"/>
    <w:rsid w:val="00847BEA"/>
    <w:rsid w:val="008B4736"/>
    <w:rsid w:val="008F2C7A"/>
    <w:rsid w:val="00933623"/>
    <w:rsid w:val="009558FB"/>
    <w:rsid w:val="009843A7"/>
    <w:rsid w:val="009E07D2"/>
    <w:rsid w:val="009F6EEF"/>
    <w:rsid w:val="00A50B85"/>
    <w:rsid w:val="00A51488"/>
    <w:rsid w:val="00A67FD4"/>
    <w:rsid w:val="00A95423"/>
    <w:rsid w:val="00B83058"/>
    <w:rsid w:val="00C00587"/>
    <w:rsid w:val="00C34744"/>
    <w:rsid w:val="00C72BA0"/>
    <w:rsid w:val="00C97191"/>
    <w:rsid w:val="00D43E9B"/>
    <w:rsid w:val="00D4562E"/>
    <w:rsid w:val="00D76FE0"/>
    <w:rsid w:val="00DA650D"/>
    <w:rsid w:val="00DC28C9"/>
    <w:rsid w:val="00DD4ACD"/>
    <w:rsid w:val="00DD6B11"/>
    <w:rsid w:val="00E04AD0"/>
    <w:rsid w:val="00E32DAB"/>
    <w:rsid w:val="00E71442"/>
    <w:rsid w:val="00E952A1"/>
    <w:rsid w:val="00EA430B"/>
    <w:rsid w:val="00ED0C50"/>
    <w:rsid w:val="00EF40DC"/>
    <w:rsid w:val="00F30FE6"/>
    <w:rsid w:val="00F72EBB"/>
    <w:rsid w:val="00F87871"/>
    <w:rsid w:val="00F91E68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5F57-1E6B-489F-8B36-3B5E6725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E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EF3"/>
    <w:rPr>
      <w:rFonts w:ascii="Calibri" w:eastAsia="Calibri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EF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4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EB"/>
  </w:style>
  <w:style w:type="paragraph" w:styleId="Stopka">
    <w:name w:val="footer"/>
    <w:basedOn w:val="Normalny"/>
    <w:link w:val="StopkaZnak"/>
    <w:uiPriority w:val="99"/>
    <w:unhideWhenUsed/>
    <w:rsid w:val="007D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EB"/>
  </w:style>
  <w:style w:type="character" w:styleId="Nierozpoznanawzmianka">
    <w:name w:val="Unresolved Mention"/>
    <w:basedOn w:val="Domylnaczcionkaakapitu"/>
    <w:uiPriority w:val="99"/>
    <w:semiHidden/>
    <w:unhideWhenUsed/>
    <w:rsid w:val="00047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D223-BC5C-4B16-A0DB-82D9DBD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46</cp:revision>
  <dcterms:created xsi:type="dcterms:W3CDTF">2017-07-05T09:59:00Z</dcterms:created>
  <dcterms:modified xsi:type="dcterms:W3CDTF">2018-03-13T10:21:00Z</dcterms:modified>
</cp:coreProperties>
</file>