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E595" w14:textId="77777777" w:rsidR="000F2631" w:rsidRPr="00BE4C4F" w:rsidRDefault="00827D28" w:rsidP="000F2631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Świetlista wizytówka Bazylei</w:t>
      </w:r>
    </w:p>
    <w:p w14:paraId="214587E2" w14:textId="77777777" w:rsidR="000F2631" w:rsidRPr="00BE4C4F" w:rsidRDefault="00D34611" w:rsidP="000F2631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Po trwającej 4 lata rozbudowie i modernizacji w 2018 ponownie otworzono </w:t>
      </w:r>
      <w:proofErr w:type="spellStart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multifunkcjonalny</w:t>
      </w:r>
      <w:proofErr w:type="spellEnd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gmach St. </w:t>
      </w:r>
      <w:proofErr w:type="spellStart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Jakobshalle</w:t>
      </w:r>
      <w:proofErr w:type="spellEnd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w Bazylei. Odnowion</w:t>
      </w:r>
      <w:r w:rsidR="000F2631" w:rsidRPr="00BE4C4F">
        <w:rPr>
          <w:rFonts w:ascii="Calibri" w:hAnsi="Calibri" w:cs="Calibri"/>
          <w:b/>
          <w:color w:val="000000" w:themeColor="text1"/>
          <w:sz w:val="22"/>
          <w:szCs w:val="22"/>
        </w:rPr>
        <w:t>y</w:t>
      </w:r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połączonymi siłami biur </w:t>
      </w:r>
      <w:proofErr w:type="spellStart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Degelo</w:t>
      </w:r>
      <w:proofErr w:type="spellEnd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Architekten</w:t>
      </w:r>
      <w:proofErr w:type="spellEnd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i </w:t>
      </w:r>
      <w:proofErr w:type="spellStart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Berrel</w:t>
      </w:r>
      <w:proofErr w:type="spellEnd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Berrel</w:t>
      </w:r>
      <w:proofErr w:type="spellEnd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Kräutler</w:t>
      </w:r>
      <w:proofErr w:type="spellEnd"/>
      <w:r w:rsidR="000F2631"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obiekt stał się jednym z największych tego typu w Europie. Wyróżnia go także unikalny projekt holu.</w:t>
      </w:r>
    </w:p>
    <w:p w14:paraId="037A9B3C" w14:textId="690BB14F" w:rsidR="000F2631" w:rsidRPr="00BE4C4F" w:rsidRDefault="000F2631" w:rsidP="000F2631">
      <w:pPr>
        <w:spacing w:after="2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„St. </w:t>
      </w:r>
      <w:proofErr w:type="spellStart"/>
      <w:r w:rsidRPr="00BE4C4F">
        <w:rPr>
          <w:rFonts w:ascii="Calibri" w:hAnsi="Calibri" w:cs="Calibri"/>
          <w:color w:val="000000" w:themeColor="text1"/>
          <w:sz w:val="22"/>
          <w:szCs w:val="22"/>
        </w:rPr>
        <w:t>Jakobshalle</w:t>
      </w:r>
      <w:proofErr w:type="spellEnd"/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w Bazylei – </w:t>
      </w:r>
      <w:proofErr w:type="spellStart"/>
      <w:r w:rsidRPr="00BE4C4F">
        <w:rPr>
          <w:rFonts w:ascii="Calibri" w:hAnsi="Calibri" w:cs="Calibri"/>
          <w:color w:val="000000" w:themeColor="text1"/>
          <w:sz w:val="22"/>
          <w:szCs w:val="22"/>
        </w:rPr>
        <w:t>multifunkcjonalny</w:t>
      </w:r>
      <w:proofErr w:type="spellEnd"/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gmach Szwajcarii” – tak obiekt charakteryzują autorzy promującej go strony internetowej. Trudno o bardziej trafną definicję. Powstał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w 1975 roku według projektu Giovanniego </w:t>
      </w:r>
      <w:proofErr w:type="spellStart"/>
      <w:r w:rsidRPr="00BE4C4F">
        <w:rPr>
          <w:rFonts w:ascii="Calibri" w:hAnsi="Calibri" w:cs="Calibri"/>
          <w:color w:val="000000" w:themeColor="text1"/>
          <w:sz w:val="22"/>
          <w:szCs w:val="22"/>
        </w:rPr>
        <w:t>Panozzo</w:t>
      </w:r>
      <w:proofErr w:type="spellEnd"/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>kompleks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na przestrzeni lat był świadkiem najważniejszych wydarzeń sportowych 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i kulturalnych 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 kraju słynącym z neutralności, </w:t>
      </w:r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eleganckich 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zegarków </w:t>
      </w:r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scyzoryków</w:t>
      </w:r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z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>ostrzem na każdą okazję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Od początku swojej historii obiekt gości ATP Swiss </w:t>
      </w:r>
      <w:proofErr w:type="spellStart"/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>Indoors</w:t>
      </w:r>
      <w:proofErr w:type="spellEnd"/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>Już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dziewięciokrotnie rodacy Rogera Federera mogli przy tej okazji oglądać, jak 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ich tenisista 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>zwycięża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w finale turnieju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Według biografii Boba Dylana, po koncercie, który odbył się 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właśnie </w:t>
      </w:r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 St. </w:t>
      </w:r>
      <w:proofErr w:type="spellStart"/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>Jakobshalle</w:t>
      </w:r>
      <w:proofErr w:type="spellEnd"/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w 1987, muzyk zdecydował się ruszyć w swoją „trasę bez końca” (</w:t>
      </w:r>
      <w:proofErr w:type="spellStart"/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>Never-Ending</w:t>
      </w:r>
      <w:proofErr w:type="spellEnd"/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Tour). Po trzydziestu latach jej trwania muzyk zagrał niemal 3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7C6A9E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tysiące koncertów. </w:t>
      </w:r>
      <w:r w:rsidR="000D0976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 2017 roku St. </w:t>
      </w:r>
      <w:proofErr w:type="spellStart"/>
      <w:r w:rsidR="000D0976" w:rsidRPr="00BE4C4F">
        <w:rPr>
          <w:rFonts w:ascii="Calibri" w:hAnsi="Calibri" w:cs="Calibri"/>
          <w:color w:val="000000" w:themeColor="text1"/>
          <w:sz w:val="22"/>
          <w:szCs w:val="22"/>
        </w:rPr>
        <w:t>Jakobshalle</w:t>
      </w:r>
      <w:proofErr w:type="spellEnd"/>
      <w:r w:rsidR="000D0976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stała się 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natomiast </w:t>
      </w:r>
      <w:r w:rsidR="000D0976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centralnym miejscem Europejskiego Spotkania Młodych, w którym udział wzięło około dwudziestu tysięcy osób z 45 krajów. 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>Odbywa</w:t>
      </w:r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ły 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>się</w:t>
      </w:r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tu 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więc </w:t>
      </w:r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– i stale odbywają – 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>najróżniejsze targi, konferencje i</w:t>
      </w:r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>widowiska. Na</w:t>
      </w:r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E41240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krótko przed 40 rocznicą powstania obiektu </w:t>
      </w:r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władze Bazylei rozpisały konkurs na jego rozbudowę i modernizację. Wygrała wspólna propozycja szwajcarskich biur architektonicznych </w:t>
      </w:r>
      <w:proofErr w:type="spellStart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>Degelo</w:t>
      </w:r>
      <w:proofErr w:type="spellEnd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>Architekten</w:t>
      </w:r>
      <w:proofErr w:type="spellEnd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i </w:t>
      </w:r>
      <w:proofErr w:type="spellStart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>Berrel</w:t>
      </w:r>
      <w:proofErr w:type="spellEnd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>Berrel</w:t>
      </w:r>
      <w:proofErr w:type="spellEnd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>Kräutler</w:t>
      </w:r>
      <w:proofErr w:type="spellEnd"/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, której wyróżnikiem stał się przestrzenny </w:t>
      </w:r>
      <w:r w:rsidR="001A72CC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i funkcjonalny </w:t>
      </w:r>
      <w:r w:rsidR="00DE0884" w:rsidRPr="00BE4C4F">
        <w:rPr>
          <w:rFonts w:ascii="Calibri" w:hAnsi="Calibri" w:cs="Calibri"/>
          <w:color w:val="000000" w:themeColor="text1"/>
          <w:sz w:val="22"/>
          <w:szCs w:val="22"/>
        </w:rPr>
        <w:t>hol z przyciągającym wzrok unikalnym rozwiązaniem oświetleniowym.</w:t>
      </w:r>
    </w:p>
    <w:p w14:paraId="11A1EDC5" w14:textId="77777777" w:rsidR="003130AF" w:rsidRPr="00BE4C4F" w:rsidRDefault="00DE0884" w:rsidP="00DE0884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Odnowiony gmach St. </w:t>
      </w:r>
      <w:proofErr w:type="spellStart"/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Jakobshall</w:t>
      </w:r>
      <w:r w:rsidR="003130AF" w:rsidRPr="00BE4C4F">
        <w:rPr>
          <w:rFonts w:ascii="Calibri" w:hAnsi="Calibri" w:cs="Calibri"/>
          <w:b/>
          <w:color w:val="000000" w:themeColor="text1"/>
          <w:sz w:val="22"/>
          <w:szCs w:val="22"/>
        </w:rPr>
        <w:t>e</w:t>
      </w:r>
      <w:proofErr w:type="spellEnd"/>
    </w:p>
    <w:p w14:paraId="0C2B4F0C" w14:textId="280F8786" w:rsidR="003130AF" w:rsidRPr="00BE4C4F" w:rsidRDefault="003130AF" w:rsidP="009160D2">
      <w:pPr>
        <w:spacing w:after="2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4C4F">
        <w:rPr>
          <w:rFonts w:ascii="Calibri" w:hAnsi="Calibri" w:cs="Calibri"/>
          <w:color w:val="000000" w:themeColor="text1"/>
          <w:sz w:val="22"/>
          <w:szCs w:val="22"/>
        </w:rPr>
        <w:t>Prócz</w:t>
      </w:r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modernizacji 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powłok budynku, pozwalającej poprawić jego efektywność energetyczną, 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podczas renowacji 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wprowadzono szereg usprawnień funkcjonalnych oraz estetycznych. Modyfikacje </w:t>
      </w:r>
      <w:r w:rsidR="001A72CC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głównej 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sali 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pozwoliły na zwiększenie jej maksymalnej pojemności o 3 tys. miejsc 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– tak, by 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z miejscem na 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12 400 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>osób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stała się jedn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z największych </w:t>
      </w:r>
      <w:proofErr w:type="spellStart"/>
      <w:r w:rsidRPr="00BE4C4F">
        <w:rPr>
          <w:rFonts w:ascii="Calibri" w:hAnsi="Calibri" w:cs="Calibri"/>
          <w:color w:val="000000" w:themeColor="text1"/>
          <w:sz w:val="22"/>
          <w:szCs w:val="22"/>
        </w:rPr>
        <w:t>multifunkcjonalnych</w:t>
      </w:r>
      <w:proofErr w:type="spellEnd"/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scen w Europie. Ulepszono przy tym dostęp do głównej areny – z dbałością o przepisy przeciwpożarowe i 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z uwzględnieniem 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>plan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>ów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ewakuacji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>. S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konstruowano także dodatkową halę, rozbudowano garderoby, zaplecze gastronomiczne oraz powiększono i zmodernizowano </w:t>
      </w:r>
      <w:proofErr w:type="spellStart"/>
      <w:r w:rsidRPr="00BE4C4F">
        <w:rPr>
          <w:rFonts w:ascii="Calibri" w:hAnsi="Calibri" w:cs="Calibri"/>
          <w:color w:val="000000" w:themeColor="text1"/>
          <w:sz w:val="22"/>
          <w:szCs w:val="22"/>
        </w:rPr>
        <w:t>foyer</w:t>
      </w:r>
      <w:proofErr w:type="spellEnd"/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– tak, by lepiej pełniło swoją reprezentacyjną funkcję oraz mogło stać się miejscem różnego rodzaju wystaw.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Dzięki aranżacji sufitu z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wykorzystaniem charakterystycznych opraw oświetleniowych zaprojektowanych od podstaw na potrzeby tego projektu hol stał się </w:t>
      </w:r>
      <w:r w:rsidR="00906461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widocznym z daleka, zaciekawiającym i zapraszającym do wnętrza </w:t>
      </w:r>
      <w:r w:rsidR="009160D2" w:rsidRPr="00BE4C4F">
        <w:rPr>
          <w:rFonts w:ascii="Calibri" w:hAnsi="Calibri" w:cs="Calibri"/>
          <w:color w:val="000000" w:themeColor="text1"/>
          <w:sz w:val="22"/>
          <w:szCs w:val="22"/>
        </w:rPr>
        <w:t>wyróżnikiem całego gmachu</w:t>
      </w:r>
      <w:r w:rsidR="00906461" w:rsidRPr="00BE4C4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48446D7" w14:textId="77777777" w:rsidR="00906461" w:rsidRPr="00BE4C4F" w:rsidRDefault="00827D28" w:rsidP="009160D2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E4C4F">
        <w:rPr>
          <w:rFonts w:ascii="Calibri" w:hAnsi="Calibri" w:cs="Calibri"/>
          <w:b/>
          <w:color w:val="000000" w:themeColor="text1"/>
          <w:sz w:val="22"/>
          <w:szCs w:val="22"/>
        </w:rPr>
        <w:t>Świetlna geometria holu</w:t>
      </w:r>
    </w:p>
    <w:p w14:paraId="119E8AE3" w14:textId="45E84CB5" w:rsidR="004D1FF9" w:rsidRDefault="00906461" w:rsidP="00D34611">
      <w:pPr>
        <w:spacing w:after="2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Foyer o łącznej powierzchni 5 tys. mkw. stanowi jednocześnie reprezentacyjną strefę wejściową oraz – ze względu na duże przeszklenia, wszechstronną widoczność i zastosowane rozwiązanie oświetleniowe – optymalną przestrzeń wystawienniczą. – </w:t>
      </w:r>
      <w:r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Okrągłe, miękko ukształtowane oprawy oświetleniowe </w:t>
      </w:r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rozmieszczono na stropie holu St. </w:t>
      </w:r>
      <w:proofErr w:type="spellStart"/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>Jakobshalle</w:t>
      </w:r>
      <w:proofErr w:type="spellEnd"/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 tak, by tworzyły idealnie regularny, geometryczny wzór i równomiernie rozświetlały całą powierzchnię foyer. Ich forma w interesujący sposób przełamuje ostre bryły obiektu i surowy charakter betonu architektonicznego, stanowiącego dominantę stref</w:t>
      </w:r>
      <w:r w:rsidR="005406A9" w:rsidRPr="00BE4C4F">
        <w:rPr>
          <w:rFonts w:ascii="Calibri" w:hAnsi="Calibri" w:cs="Calibri"/>
          <w:i/>
          <w:color w:val="000000" w:themeColor="text1"/>
          <w:sz w:val="22"/>
          <w:szCs w:val="22"/>
        </w:rPr>
        <w:t>y</w:t>
      </w:r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 wejściowe</w:t>
      </w:r>
      <w:r w:rsidR="005406A9" w:rsidRPr="00BE4C4F">
        <w:rPr>
          <w:rFonts w:ascii="Calibri" w:hAnsi="Calibri" w:cs="Calibri"/>
          <w:i/>
          <w:color w:val="000000" w:themeColor="text1"/>
          <w:sz w:val="22"/>
          <w:szCs w:val="22"/>
        </w:rPr>
        <w:t>j</w:t>
      </w:r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>. Dzięki</w:t>
      </w:r>
      <w:r w:rsidR="00657410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>zastosowanym układom optycznym, specjalnym kloszom i sposobowi rozmieszczenia</w:t>
      </w:r>
      <w:r w:rsidR="005406A9" w:rsidRPr="00BE4C4F">
        <w:rPr>
          <w:rFonts w:ascii="Calibri" w:hAnsi="Calibri" w:cs="Calibri"/>
          <w:i/>
          <w:color w:val="000000" w:themeColor="text1"/>
          <w:sz w:val="22"/>
          <w:szCs w:val="22"/>
        </w:rPr>
        <w:t>,</w:t>
      </w:r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 oprawy emitują równomierne, rozproszone i nierzucające cienia światło. To idealne warunki do celów wystawienniczych – </w:t>
      </w:r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mówi Krzysztof Rajecki, projektant oświetlenia TRILUX – Grupy, która we współpracy z architektami odpowiedzialnymi za modernizację St. </w:t>
      </w:r>
      <w:proofErr w:type="spellStart"/>
      <w:r w:rsidRPr="00BE4C4F">
        <w:rPr>
          <w:rFonts w:ascii="Calibri" w:hAnsi="Calibri" w:cs="Calibri"/>
          <w:color w:val="000000" w:themeColor="text1"/>
          <w:sz w:val="22"/>
          <w:szCs w:val="22"/>
        </w:rPr>
        <w:t>Jakobshalle</w:t>
      </w:r>
      <w:proofErr w:type="spellEnd"/>
      <w:r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od podstaw stworzyła zastosowane w niej oprawy. </w:t>
      </w:r>
      <w:r w:rsidR="00657410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Rozwiązanie oświetleniowe zostało stworzone </w:t>
      </w:r>
      <w:r w:rsidR="005406A9"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specjalnie </w:t>
      </w:r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na potrzeby St. </w:t>
      </w:r>
      <w:proofErr w:type="spellStart"/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>Jakobshalle</w:t>
      </w:r>
      <w:proofErr w:type="spellEnd"/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 w laboratoriach i zakładach Grupy TRILUX. Po udanym wdrożeniu trafiło jednak do standardowej oferty pod dobrze oddającą miękkość formy nazwą </w:t>
      </w:r>
      <w:proofErr w:type="spellStart"/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>Oyamo</w:t>
      </w:r>
      <w:proofErr w:type="spellEnd"/>
      <w:r w:rsidR="00657410" w:rsidRPr="00BE4C4F">
        <w:rPr>
          <w:rFonts w:ascii="Calibri" w:hAnsi="Calibri" w:cs="Calibri"/>
          <w:i/>
          <w:color w:val="000000" w:themeColor="text1"/>
          <w:sz w:val="22"/>
          <w:szCs w:val="22"/>
        </w:rPr>
        <w:t xml:space="preserve"> – </w:t>
      </w:r>
      <w:r w:rsidR="00657410" w:rsidRPr="00BE4C4F">
        <w:rPr>
          <w:rFonts w:ascii="Calibri" w:hAnsi="Calibri" w:cs="Calibri"/>
          <w:color w:val="000000" w:themeColor="text1"/>
          <w:sz w:val="22"/>
          <w:szCs w:val="22"/>
        </w:rPr>
        <w:t>dodaje Rajecki.</w:t>
      </w:r>
      <w:r w:rsidR="004D1FF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27D28" w:rsidRPr="00BE4C4F"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4D1FF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ałej modernizacji dokonano w trzech etapach bez konieczności wyłączania hali </w:t>
      </w:r>
      <w:r w:rsidR="004D1FF9" w:rsidRPr="00BE4C4F">
        <w:rPr>
          <w:rFonts w:ascii="Calibri" w:hAnsi="Calibri" w:cs="Calibri"/>
          <w:color w:val="000000" w:themeColor="text1"/>
          <w:sz w:val="22"/>
          <w:szCs w:val="22"/>
        </w:rPr>
        <w:lastRenderedPageBreak/>
        <w:t>z użytkowania. Koszty inwestycji wyniosły 105 mln franków szwajcarskich</w:t>
      </w:r>
      <w:r w:rsidR="00827D28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– według szacunkowych obliczeń stworzenie nowego obiektu, pełniącego porównywalne funkcje wymagałoby dwukrotnie wyższych nakładów.</w:t>
      </w:r>
      <w:r w:rsidR="004D1FF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27D28" w:rsidRPr="00BE4C4F">
        <w:rPr>
          <w:rFonts w:ascii="Calibri" w:hAnsi="Calibri" w:cs="Calibri"/>
          <w:color w:val="000000" w:themeColor="text1"/>
          <w:sz w:val="22"/>
          <w:szCs w:val="22"/>
        </w:rPr>
        <w:t>Co więcej, d</w:t>
      </w:r>
      <w:r w:rsidR="004D1FF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zięki </w:t>
      </w:r>
      <w:r w:rsidR="00827D28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wszechstronności 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>kompleksu</w:t>
      </w:r>
      <w:r w:rsidR="004D1FF9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 i rzutkości właścicieli wydatki najpewniej szybko się zwrócą. W tym roku </w:t>
      </w:r>
      <w:r w:rsidR="00827D28" w:rsidRPr="00BE4C4F">
        <w:rPr>
          <w:rFonts w:ascii="Calibri" w:hAnsi="Calibri" w:cs="Calibri"/>
          <w:color w:val="000000" w:themeColor="text1"/>
          <w:sz w:val="22"/>
          <w:szCs w:val="22"/>
        </w:rPr>
        <w:t>odbędą się w nim między innymi: Mistrzostwa Świata w</w:t>
      </w:r>
      <w:r w:rsidR="005406A9" w:rsidRPr="00BE4C4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827D28" w:rsidRPr="00BE4C4F">
        <w:rPr>
          <w:rFonts w:ascii="Calibri" w:hAnsi="Calibri" w:cs="Calibri"/>
          <w:color w:val="000000" w:themeColor="text1"/>
          <w:sz w:val="22"/>
          <w:szCs w:val="22"/>
        </w:rPr>
        <w:t>Badmintonie i Para</w:t>
      </w:r>
      <w:r w:rsidR="00DF0760">
        <w:rPr>
          <w:rFonts w:ascii="Calibri" w:hAnsi="Calibri" w:cs="Calibri"/>
          <w:color w:val="000000" w:themeColor="text1"/>
          <w:sz w:val="22"/>
          <w:szCs w:val="22"/>
        </w:rPr>
        <w:t>-</w:t>
      </w:r>
      <w:bookmarkStart w:id="0" w:name="_GoBack"/>
      <w:bookmarkEnd w:id="0"/>
      <w:r w:rsidR="00827D28" w:rsidRPr="00BE4C4F">
        <w:rPr>
          <w:rFonts w:ascii="Calibri" w:hAnsi="Calibri" w:cs="Calibri"/>
          <w:color w:val="000000" w:themeColor="text1"/>
          <w:sz w:val="22"/>
          <w:szCs w:val="22"/>
        </w:rPr>
        <w:t xml:space="preserve">Badmintonie, Mistrzostwa Świata kolarstwa halowego UCI czy koncert zespołu </w:t>
      </w:r>
      <w:proofErr w:type="spellStart"/>
      <w:r w:rsidR="00827D28" w:rsidRPr="00BE4C4F">
        <w:rPr>
          <w:rFonts w:ascii="Calibri" w:hAnsi="Calibri" w:cs="Calibri"/>
          <w:color w:val="000000" w:themeColor="text1"/>
          <w:sz w:val="22"/>
          <w:szCs w:val="22"/>
        </w:rPr>
        <w:t>Mumford&amp;Sons</w:t>
      </w:r>
      <w:proofErr w:type="spellEnd"/>
      <w:r w:rsidR="00827D28" w:rsidRPr="00BE4C4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CFDF290" w14:textId="77777777" w:rsidR="00D06292" w:rsidRPr="00D06292" w:rsidRDefault="00D06292" w:rsidP="00D06292">
      <w:pPr>
        <w:rPr>
          <w:rFonts w:ascii="Calibri" w:hAnsi="Calibri" w:cs="Calibri"/>
          <w:b/>
          <w:color w:val="171717"/>
          <w:sz w:val="22"/>
          <w:szCs w:val="22"/>
        </w:rPr>
      </w:pPr>
      <w:r w:rsidRPr="00D06292">
        <w:rPr>
          <w:rFonts w:ascii="Calibri" w:hAnsi="Calibri" w:cs="Calibri"/>
          <w:b/>
          <w:color w:val="171717"/>
          <w:sz w:val="22"/>
          <w:szCs w:val="22"/>
        </w:rPr>
        <w:t>Kontakt dla mediów:</w:t>
      </w:r>
    </w:p>
    <w:p w14:paraId="554F462B" w14:textId="77777777" w:rsidR="00D06292" w:rsidRPr="00D06292" w:rsidRDefault="00D06292" w:rsidP="00D06292">
      <w:pPr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D0629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Wojciech Podsiadły</w:t>
      </w:r>
    </w:p>
    <w:p w14:paraId="5D43C0E0" w14:textId="77777777" w:rsidR="00D06292" w:rsidRPr="00D06292" w:rsidRDefault="00D06292" w:rsidP="00D06292">
      <w:pPr>
        <w:rPr>
          <w:rFonts w:ascii="Calibri" w:hAnsi="Calibri" w:cs="Calibri"/>
          <w:color w:val="222222"/>
          <w:sz w:val="22"/>
          <w:szCs w:val="22"/>
        </w:rPr>
      </w:pPr>
      <w:r w:rsidRPr="00D06292">
        <w:rPr>
          <w:rFonts w:ascii="Calibri" w:hAnsi="Calibri" w:cs="Calibri"/>
          <w:color w:val="222222"/>
          <w:sz w:val="22"/>
          <w:szCs w:val="22"/>
        </w:rPr>
        <w:t>PR Manager</w:t>
      </w:r>
    </w:p>
    <w:p w14:paraId="0B4B48BD" w14:textId="77777777" w:rsidR="00D06292" w:rsidRPr="00D06292" w:rsidRDefault="00D06292" w:rsidP="00D06292">
      <w:pPr>
        <w:rPr>
          <w:rFonts w:ascii="Calibri" w:hAnsi="Calibri" w:cs="Calibri"/>
          <w:color w:val="222222"/>
          <w:sz w:val="22"/>
          <w:szCs w:val="22"/>
          <w:shd w:val="clear" w:color="auto" w:fill="FFFFFF"/>
          <w:lang w:val="en-GB"/>
        </w:rPr>
      </w:pPr>
      <w:proofErr w:type="spellStart"/>
      <w:r w:rsidRPr="00D06292">
        <w:rPr>
          <w:rFonts w:ascii="Calibri" w:hAnsi="Calibri" w:cs="Calibri"/>
          <w:color w:val="222222"/>
          <w:sz w:val="22"/>
          <w:szCs w:val="22"/>
          <w:shd w:val="clear" w:color="auto" w:fill="FFFFFF"/>
          <w:lang w:val="en-GB"/>
        </w:rPr>
        <w:t>More&amp;More</w:t>
      </w:r>
      <w:proofErr w:type="spellEnd"/>
      <w:r w:rsidRPr="00D06292">
        <w:rPr>
          <w:rFonts w:ascii="Calibri" w:hAnsi="Calibri" w:cs="Calibri"/>
          <w:color w:val="222222"/>
          <w:sz w:val="22"/>
          <w:szCs w:val="22"/>
          <w:shd w:val="clear" w:color="auto" w:fill="FFFFFF"/>
          <w:lang w:val="en-GB"/>
        </w:rPr>
        <w:t xml:space="preserve"> Marketing</w:t>
      </w:r>
    </w:p>
    <w:p w14:paraId="62323BB2" w14:textId="77777777" w:rsidR="00D06292" w:rsidRPr="00D06292" w:rsidRDefault="00D06292" w:rsidP="00D06292">
      <w:pPr>
        <w:rPr>
          <w:rFonts w:ascii="Calibri" w:hAnsi="Calibri" w:cs="Calibri"/>
          <w:color w:val="222222"/>
          <w:sz w:val="22"/>
          <w:szCs w:val="22"/>
          <w:lang w:val="en-GB"/>
        </w:rPr>
      </w:pPr>
      <w:r w:rsidRPr="00D06292">
        <w:rPr>
          <w:rFonts w:ascii="Calibri" w:hAnsi="Calibri" w:cs="Calibri"/>
          <w:color w:val="222222"/>
          <w:sz w:val="22"/>
          <w:szCs w:val="22"/>
          <w:lang w:val="en-GB"/>
        </w:rPr>
        <w:t>mob.571.246.669</w:t>
      </w:r>
    </w:p>
    <w:p w14:paraId="328FFD25" w14:textId="0E307B91" w:rsidR="00D06292" w:rsidRPr="00D06292" w:rsidRDefault="00D06292" w:rsidP="00D06292">
      <w:pPr>
        <w:shd w:val="clear" w:color="auto" w:fill="FFFFFF"/>
        <w:rPr>
          <w:rFonts w:ascii="Calibri" w:hAnsi="Calibri" w:cs="Calibri"/>
          <w:sz w:val="22"/>
          <w:szCs w:val="22"/>
          <w:lang w:val="en-GB"/>
        </w:rPr>
      </w:pPr>
      <w:r w:rsidRPr="00D06292">
        <w:rPr>
          <w:rFonts w:ascii="Calibri" w:hAnsi="Calibri" w:cs="Calibri"/>
          <w:color w:val="222222"/>
          <w:sz w:val="22"/>
          <w:szCs w:val="22"/>
          <w:lang w:val="en-GB"/>
        </w:rPr>
        <w:t>e-mail:</w:t>
      </w:r>
      <w:r w:rsidRPr="00D06292">
        <w:rPr>
          <w:rStyle w:val="apple-converted-space"/>
          <w:rFonts w:ascii="Calibri" w:hAnsi="Calibri" w:cs="Calibri"/>
          <w:color w:val="222222"/>
          <w:sz w:val="22"/>
          <w:szCs w:val="22"/>
          <w:lang w:val="en-GB"/>
        </w:rPr>
        <w:t> </w:t>
      </w:r>
      <w:hyperlink r:id="rId4" w:tgtFrame="_blank" w:history="1">
        <w:r w:rsidRPr="00D06292">
          <w:rPr>
            <w:rStyle w:val="Hipercze"/>
            <w:rFonts w:ascii="Calibri" w:hAnsi="Calibri" w:cs="Calibri"/>
            <w:color w:val="1155CC"/>
            <w:sz w:val="22"/>
            <w:szCs w:val="22"/>
            <w:lang w:val="en-GB"/>
          </w:rPr>
          <w:t>wojciech@getmorepr.pl</w:t>
        </w:r>
      </w:hyperlink>
    </w:p>
    <w:sectPr w:rsidR="00D06292" w:rsidRPr="00D06292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0F"/>
    <w:rsid w:val="000D0976"/>
    <w:rsid w:val="000F2631"/>
    <w:rsid w:val="001A72CC"/>
    <w:rsid w:val="001B4A05"/>
    <w:rsid w:val="003130AF"/>
    <w:rsid w:val="00370B6A"/>
    <w:rsid w:val="004D1FF9"/>
    <w:rsid w:val="004D6A75"/>
    <w:rsid w:val="005406A9"/>
    <w:rsid w:val="00657410"/>
    <w:rsid w:val="00777CA0"/>
    <w:rsid w:val="007C6A9E"/>
    <w:rsid w:val="0080140F"/>
    <w:rsid w:val="00807E79"/>
    <w:rsid w:val="00827D28"/>
    <w:rsid w:val="00906461"/>
    <w:rsid w:val="009160D2"/>
    <w:rsid w:val="00945F97"/>
    <w:rsid w:val="009A05CC"/>
    <w:rsid w:val="00A76853"/>
    <w:rsid w:val="00BE4C4F"/>
    <w:rsid w:val="00C9350B"/>
    <w:rsid w:val="00D06292"/>
    <w:rsid w:val="00D34611"/>
    <w:rsid w:val="00DE0884"/>
    <w:rsid w:val="00DF0760"/>
    <w:rsid w:val="00E41240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399"/>
  <w15:chartTrackingRefBased/>
  <w15:docId w15:val="{93E2ED1F-2C79-624D-AB9C-2BFD74D9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2C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5F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A9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1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2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24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240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12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240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D0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0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10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739">
          <w:marLeft w:val="3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3</cp:revision>
  <dcterms:created xsi:type="dcterms:W3CDTF">2019-02-08T08:44:00Z</dcterms:created>
  <dcterms:modified xsi:type="dcterms:W3CDTF">2019-02-08T09:17:00Z</dcterms:modified>
</cp:coreProperties>
</file>