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04FA10D7" w14:textId="1046A8B6" w:rsidR="00536ECF" w:rsidRDefault="001B4A1E">
            <w:pPr>
              <w:pStyle w:val="scfstandard"/>
              <w:tabs>
                <w:tab w:val="left" w:pos="5270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0" w:name="_Hlk499553440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  <w:p w14:paraId="0864B01F" w14:textId="77777777" w:rsidR="00536ECF" w:rsidRDefault="00536ECF">
            <w:pPr>
              <w:pStyle w:val="scfstandard"/>
              <w:tabs>
                <w:tab w:val="left" w:pos="5270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B78D8C" w14:textId="77777777" w:rsidR="00FA5E2C" w:rsidRPr="00FA5E2C" w:rsidRDefault="00FA5E2C">
      <w:pPr>
        <w:pStyle w:val="scfvertrauen"/>
        <w:tabs>
          <w:tab w:val="left" w:pos="550"/>
          <w:tab w:val="left" w:pos="2950"/>
        </w:tabs>
        <w:spacing w:before="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scf_dummy"/>
      <w:bookmarkStart w:id="3" w:name="scf_vertrauen"/>
      <w:bookmarkEnd w:id="2"/>
      <w:bookmarkEnd w:id="3"/>
    </w:p>
    <w:p w14:paraId="5013C1C5" w14:textId="280BC4CF" w:rsidR="00536ECF" w:rsidRPr="006D7291" w:rsidRDefault="009401BC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4" w:name="_Hlk499553517"/>
      <w:r w:rsidRPr="006D7291">
        <w:rPr>
          <w:rFonts w:asciiTheme="minorHAnsi" w:hAnsiTheme="minorHAnsi" w:cstheme="minorHAnsi"/>
          <w:b/>
          <w:sz w:val="28"/>
          <w:szCs w:val="28"/>
        </w:rPr>
        <w:t>6</w:t>
      </w:r>
      <w:r w:rsidR="009127A9" w:rsidRPr="006D7291">
        <w:rPr>
          <w:rFonts w:asciiTheme="minorHAnsi" w:hAnsiTheme="minorHAnsi" w:cstheme="minorHAnsi"/>
          <w:b/>
          <w:sz w:val="28"/>
          <w:szCs w:val="28"/>
        </w:rPr>
        <w:t xml:space="preserve"> stereotypów o leasingu</w:t>
      </w:r>
    </w:p>
    <w:p w14:paraId="20FD8F70" w14:textId="0D5E1077" w:rsidR="00536ECF" w:rsidRPr="001D13C1" w:rsidRDefault="00666461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Przedsiębiorcy coraz chętniej sięgają po leasing jako metodę finansowania inwestycji</w:t>
      </w:r>
      <w:r w:rsidR="000947FB">
        <w:rPr>
          <w:rFonts w:asciiTheme="minorHAnsi" w:hAnsiTheme="minorHAnsi" w:cstheme="minorHAnsi"/>
          <w:b/>
          <w:sz w:val="24"/>
          <w:szCs w:val="24"/>
        </w:rPr>
        <w:t>, dostrzegając zalety tego rozwiązania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401BC">
        <w:rPr>
          <w:rFonts w:asciiTheme="minorHAnsi" w:hAnsiTheme="minorHAnsi" w:cstheme="minorHAnsi"/>
          <w:b/>
          <w:sz w:val="24"/>
          <w:szCs w:val="24"/>
        </w:rPr>
        <w:t>Jak pokazują dane Związku Polskiego Leasingu</w:t>
      </w:r>
      <w:r w:rsidR="004E4510">
        <w:rPr>
          <w:rFonts w:asciiTheme="minorHAnsi" w:hAnsiTheme="minorHAnsi" w:cstheme="minorHAnsi"/>
          <w:b/>
          <w:sz w:val="24"/>
          <w:szCs w:val="24"/>
        </w:rPr>
        <w:t>,</w:t>
      </w:r>
      <w:r w:rsidR="009401BC">
        <w:rPr>
          <w:rFonts w:asciiTheme="minorHAnsi" w:hAnsiTheme="minorHAnsi" w:cstheme="minorHAnsi"/>
          <w:b/>
          <w:sz w:val="24"/>
          <w:szCs w:val="24"/>
        </w:rPr>
        <w:t xml:space="preserve"> ta forma pozyskan</w:t>
      </w:r>
      <w:r w:rsidR="00CE6924">
        <w:rPr>
          <w:rFonts w:asciiTheme="minorHAnsi" w:hAnsiTheme="minorHAnsi" w:cstheme="minorHAnsi"/>
          <w:b/>
          <w:sz w:val="24"/>
          <w:szCs w:val="24"/>
        </w:rPr>
        <w:t>i</w:t>
      </w:r>
      <w:r w:rsidR="00F86AAD">
        <w:rPr>
          <w:rFonts w:asciiTheme="minorHAnsi" w:hAnsiTheme="minorHAnsi" w:cstheme="minorHAnsi"/>
          <w:b/>
          <w:sz w:val="24"/>
          <w:szCs w:val="24"/>
        </w:rPr>
        <w:t>a</w:t>
      </w:r>
      <w:r w:rsidR="00CE6924">
        <w:rPr>
          <w:rFonts w:asciiTheme="minorHAnsi" w:hAnsiTheme="minorHAnsi" w:cstheme="minorHAnsi"/>
          <w:b/>
          <w:sz w:val="24"/>
          <w:szCs w:val="24"/>
        </w:rPr>
        <w:t xml:space="preserve"> środków</w:t>
      </w:r>
      <w:r w:rsidR="002022E2">
        <w:rPr>
          <w:rFonts w:asciiTheme="minorHAnsi" w:hAnsiTheme="minorHAnsi" w:cstheme="minorHAnsi"/>
          <w:b/>
          <w:sz w:val="24"/>
          <w:szCs w:val="24"/>
        </w:rPr>
        <w:t xml:space="preserve"> dynamicznie</w:t>
      </w:r>
      <w:r w:rsidR="00CE6924">
        <w:rPr>
          <w:rFonts w:asciiTheme="minorHAnsi" w:hAnsiTheme="minorHAnsi" w:cstheme="minorHAnsi"/>
          <w:b/>
          <w:sz w:val="24"/>
          <w:szCs w:val="24"/>
        </w:rPr>
        <w:t xml:space="preserve"> rośnie</w:t>
      </w:r>
      <w:r w:rsidR="002022E2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782B93">
        <w:rPr>
          <w:rFonts w:asciiTheme="minorHAnsi" w:hAnsiTheme="minorHAnsi" w:cstheme="minorHAnsi"/>
          <w:b/>
          <w:sz w:val="24"/>
          <w:szCs w:val="24"/>
        </w:rPr>
        <w:t xml:space="preserve">ponad </w:t>
      </w:r>
      <w:r w:rsidR="002022E2">
        <w:rPr>
          <w:rFonts w:asciiTheme="minorHAnsi" w:hAnsiTheme="minorHAnsi" w:cstheme="minorHAnsi"/>
          <w:b/>
          <w:sz w:val="24"/>
          <w:szCs w:val="24"/>
        </w:rPr>
        <w:t>2</w:t>
      </w:r>
      <w:r w:rsidR="00782B93">
        <w:rPr>
          <w:rFonts w:asciiTheme="minorHAnsi" w:hAnsiTheme="minorHAnsi" w:cstheme="minorHAnsi"/>
          <w:b/>
          <w:sz w:val="24"/>
          <w:szCs w:val="24"/>
        </w:rPr>
        <w:t>0</w:t>
      </w:r>
      <w:r w:rsidR="009401BC">
        <w:rPr>
          <w:rFonts w:asciiTheme="minorHAnsi" w:hAnsiTheme="minorHAnsi" w:cstheme="minorHAnsi"/>
          <w:b/>
          <w:sz w:val="24"/>
          <w:szCs w:val="24"/>
        </w:rPr>
        <w:t xml:space="preserve"> lat</w:t>
      </w:r>
      <w:r w:rsidR="000947FB">
        <w:rPr>
          <w:rFonts w:asciiTheme="minorHAnsi" w:hAnsiTheme="minorHAnsi" w:cstheme="minorHAnsi"/>
          <w:b/>
          <w:sz w:val="24"/>
          <w:szCs w:val="24"/>
        </w:rPr>
        <w:t>.</w:t>
      </w:r>
      <w:r w:rsidR="009401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47FB">
        <w:rPr>
          <w:rFonts w:asciiTheme="minorHAnsi" w:hAnsiTheme="minorHAnsi" w:cstheme="minorHAnsi"/>
          <w:b/>
          <w:sz w:val="24"/>
          <w:szCs w:val="24"/>
        </w:rPr>
        <w:t>T</w:t>
      </w:r>
      <w:r w:rsidR="009401BC">
        <w:rPr>
          <w:rFonts w:asciiTheme="minorHAnsi" w:hAnsiTheme="minorHAnsi" w:cstheme="minorHAnsi"/>
          <w:b/>
          <w:sz w:val="24"/>
          <w:szCs w:val="24"/>
        </w:rPr>
        <w:t xml:space="preserve">ylko w ostatnim roku </w:t>
      </w:r>
      <w:r w:rsidR="000947FB">
        <w:rPr>
          <w:rFonts w:asciiTheme="minorHAnsi" w:hAnsiTheme="minorHAnsi" w:cstheme="minorHAnsi"/>
          <w:b/>
          <w:sz w:val="24"/>
          <w:szCs w:val="24"/>
        </w:rPr>
        <w:t xml:space="preserve">cała branża urosła </w:t>
      </w:r>
      <w:r w:rsidR="009401BC">
        <w:rPr>
          <w:rFonts w:asciiTheme="minorHAnsi" w:hAnsiTheme="minorHAnsi" w:cstheme="minorHAnsi"/>
          <w:b/>
          <w:sz w:val="24"/>
          <w:szCs w:val="24"/>
        </w:rPr>
        <w:t xml:space="preserve">o prawie 22 </w:t>
      </w:r>
      <w:r w:rsidR="00131355">
        <w:rPr>
          <w:rFonts w:asciiTheme="minorHAnsi" w:hAnsiTheme="minorHAnsi" w:cstheme="minorHAnsi"/>
          <w:b/>
          <w:sz w:val="24"/>
          <w:szCs w:val="24"/>
        </w:rPr>
        <w:t>proc</w:t>
      </w:r>
      <w:r w:rsidR="000947FB">
        <w:rPr>
          <w:rFonts w:asciiTheme="minorHAnsi" w:hAnsiTheme="minorHAnsi" w:cstheme="minorHAnsi"/>
          <w:b/>
          <w:sz w:val="24"/>
          <w:szCs w:val="24"/>
        </w:rPr>
        <w:t>, a jej wartość to już ponad 86 mld zł na koniec 2018 roku.</w:t>
      </w:r>
      <w:r w:rsidR="001313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6AAD">
        <w:rPr>
          <w:rFonts w:asciiTheme="minorHAnsi" w:hAnsiTheme="minorHAnsi" w:cstheme="minorHAnsi"/>
          <w:b/>
          <w:sz w:val="24"/>
          <w:szCs w:val="24"/>
        </w:rPr>
        <w:t>Je</w:t>
      </w:r>
      <w:r w:rsidR="00B72CB3">
        <w:rPr>
          <w:rFonts w:asciiTheme="minorHAnsi" w:hAnsiTheme="minorHAnsi" w:cstheme="minorHAnsi"/>
          <w:b/>
          <w:sz w:val="24"/>
          <w:szCs w:val="24"/>
        </w:rPr>
        <w:t>d</w:t>
      </w:r>
      <w:r w:rsidR="00F86AAD">
        <w:rPr>
          <w:rFonts w:asciiTheme="minorHAnsi" w:hAnsiTheme="minorHAnsi" w:cstheme="minorHAnsi"/>
          <w:b/>
          <w:sz w:val="24"/>
          <w:szCs w:val="24"/>
        </w:rPr>
        <w:t>nak popularność nie zawsze idzie w parze z rzetelną wiedzą na temat leasingu.</w:t>
      </w:r>
      <w:r w:rsidR="009401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0487">
        <w:rPr>
          <w:rFonts w:asciiTheme="minorHAnsi" w:hAnsiTheme="minorHAnsi" w:cstheme="minorHAnsi"/>
          <w:b/>
          <w:sz w:val="24"/>
          <w:szCs w:val="24"/>
        </w:rPr>
        <w:t xml:space="preserve">Eksperci </w:t>
      </w:r>
      <w:r w:rsidR="009401BC">
        <w:rPr>
          <w:rFonts w:asciiTheme="minorHAnsi" w:hAnsiTheme="minorHAnsi" w:cstheme="minorHAnsi"/>
          <w:b/>
          <w:sz w:val="24"/>
          <w:szCs w:val="24"/>
        </w:rPr>
        <w:t>Siemens Financial Service</w:t>
      </w:r>
      <w:r w:rsidR="00131355">
        <w:rPr>
          <w:rFonts w:asciiTheme="minorHAnsi" w:hAnsiTheme="minorHAnsi" w:cstheme="minorHAnsi"/>
          <w:b/>
          <w:sz w:val="24"/>
          <w:szCs w:val="24"/>
        </w:rPr>
        <w:t xml:space="preserve">s </w:t>
      </w:r>
      <w:r w:rsidR="008C0487">
        <w:rPr>
          <w:rFonts w:asciiTheme="minorHAnsi" w:hAnsiTheme="minorHAnsi" w:cstheme="minorHAnsi"/>
          <w:b/>
          <w:sz w:val="24"/>
          <w:szCs w:val="24"/>
        </w:rPr>
        <w:t xml:space="preserve">zebrali </w:t>
      </w:r>
      <w:r w:rsidR="00131355">
        <w:rPr>
          <w:rFonts w:asciiTheme="minorHAnsi" w:hAnsiTheme="minorHAnsi" w:cstheme="minorHAnsi"/>
          <w:b/>
          <w:sz w:val="24"/>
          <w:szCs w:val="24"/>
        </w:rPr>
        <w:t xml:space="preserve">6 </w:t>
      </w:r>
      <w:r w:rsidR="007947F7">
        <w:rPr>
          <w:rFonts w:asciiTheme="minorHAnsi" w:hAnsiTheme="minorHAnsi" w:cstheme="minorHAnsi"/>
          <w:b/>
          <w:sz w:val="24"/>
          <w:szCs w:val="24"/>
        </w:rPr>
        <w:t>najpopularniejszych</w:t>
      </w:r>
      <w:r w:rsidR="00F86A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2B93">
        <w:rPr>
          <w:rFonts w:asciiTheme="minorHAnsi" w:hAnsiTheme="minorHAnsi" w:cstheme="minorHAnsi"/>
          <w:b/>
          <w:sz w:val="24"/>
          <w:szCs w:val="24"/>
        </w:rPr>
        <w:t>mitów</w:t>
      </w:r>
      <w:r w:rsidR="00F86AAD">
        <w:rPr>
          <w:rFonts w:asciiTheme="minorHAnsi" w:hAnsiTheme="minorHAnsi" w:cstheme="minorHAnsi"/>
          <w:b/>
          <w:sz w:val="24"/>
          <w:szCs w:val="24"/>
        </w:rPr>
        <w:t xml:space="preserve"> na jego temat</w:t>
      </w:r>
      <w:r w:rsidR="009401BC">
        <w:rPr>
          <w:rFonts w:asciiTheme="minorHAnsi" w:hAnsiTheme="minorHAnsi" w:cstheme="minorHAnsi"/>
          <w:b/>
          <w:sz w:val="24"/>
          <w:szCs w:val="24"/>
        </w:rPr>
        <w:t>.</w:t>
      </w:r>
    </w:p>
    <w:p w14:paraId="09B5AD03" w14:textId="77777777" w:rsidR="008C0487" w:rsidRDefault="008C0487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5" w:name="_GoBack"/>
      <w:bookmarkEnd w:id="0"/>
      <w:bookmarkEnd w:id="4"/>
      <w:bookmarkEnd w:id="5"/>
    </w:p>
    <w:p w14:paraId="30EBA439" w14:textId="737BFC81" w:rsidR="00290EBA" w:rsidRPr="003126BF" w:rsidRDefault="008C0487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Mit pierwszy: w</w:t>
      </w:r>
      <w:r w:rsidR="003126BF" w:rsidRPr="003126BF">
        <w:rPr>
          <w:rFonts w:asciiTheme="minorHAnsi" w:hAnsiTheme="minorHAnsi" w:cstheme="minorHAnsi"/>
          <w:b/>
          <w:sz w:val="24"/>
          <w:szCs w:val="24"/>
        </w:rPr>
        <w:t xml:space="preserve"> leasing bierze się przede wszystkim samochody</w:t>
      </w:r>
    </w:p>
    <w:p w14:paraId="4CFC1F0D" w14:textId="57525A46" w:rsidR="003126BF" w:rsidRDefault="004C30E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Samochody osobowe i dos</w:t>
      </w:r>
      <w:r w:rsidR="00607080">
        <w:rPr>
          <w:rFonts w:asciiTheme="minorHAnsi" w:hAnsiTheme="minorHAnsi" w:cstheme="minorHAnsi"/>
          <w:sz w:val="24"/>
          <w:szCs w:val="24"/>
        </w:rPr>
        <w:t>tawcze do 3,5 tony są</w:t>
      </w:r>
      <w:r>
        <w:rPr>
          <w:rFonts w:asciiTheme="minorHAnsi" w:hAnsiTheme="minorHAnsi" w:cstheme="minorHAnsi"/>
          <w:sz w:val="24"/>
          <w:szCs w:val="24"/>
        </w:rPr>
        <w:t xml:space="preserve"> najczęściej finansowane przez leasing. Według danych ZPL stanowiły </w:t>
      </w:r>
      <w:r w:rsidR="00F86AAD">
        <w:rPr>
          <w:rFonts w:asciiTheme="minorHAnsi" w:hAnsiTheme="minorHAnsi" w:cstheme="minorHAnsi"/>
          <w:sz w:val="24"/>
          <w:szCs w:val="24"/>
        </w:rPr>
        <w:t>one</w:t>
      </w:r>
      <w:r w:rsidR="004616C5">
        <w:rPr>
          <w:rFonts w:asciiTheme="minorHAnsi" w:hAnsiTheme="minorHAnsi" w:cstheme="minorHAnsi"/>
          <w:sz w:val="24"/>
          <w:szCs w:val="24"/>
        </w:rPr>
        <w:t xml:space="preserve"> w zeszłym roku</w:t>
      </w:r>
      <w:r w:rsidR="00F86AA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ponad 48 proc. leasingowanych przedmiotów</w:t>
      </w:r>
      <w:r w:rsidR="004616C5">
        <w:rPr>
          <w:rFonts w:asciiTheme="minorHAnsi" w:hAnsiTheme="minorHAnsi" w:cstheme="minorHAnsi"/>
          <w:sz w:val="24"/>
          <w:szCs w:val="24"/>
        </w:rPr>
        <w:t>.</w:t>
      </w:r>
      <w:r w:rsidR="00B61AB5">
        <w:rPr>
          <w:rFonts w:asciiTheme="minorHAnsi" w:hAnsiTheme="minorHAnsi" w:cstheme="minorHAnsi"/>
          <w:sz w:val="24"/>
          <w:szCs w:val="24"/>
        </w:rPr>
        <w:t xml:space="preserve"> </w:t>
      </w:r>
      <w:r w:rsidR="004616C5">
        <w:rPr>
          <w:rFonts w:asciiTheme="minorHAnsi" w:hAnsiTheme="minorHAnsi" w:cstheme="minorHAnsi"/>
          <w:sz w:val="24"/>
          <w:szCs w:val="24"/>
        </w:rPr>
        <w:t>Warto j</w:t>
      </w:r>
      <w:r w:rsidR="00B26D72">
        <w:rPr>
          <w:rFonts w:asciiTheme="minorHAnsi" w:hAnsiTheme="minorHAnsi" w:cstheme="minorHAnsi"/>
          <w:sz w:val="24"/>
          <w:szCs w:val="24"/>
        </w:rPr>
        <w:t>ednak</w:t>
      </w:r>
      <w:r w:rsidR="004616C5">
        <w:rPr>
          <w:rFonts w:asciiTheme="minorHAnsi" w:hAnsiTheme="minorHAnsi" w:cstheme="minorHAnsi"/>
          <w:sz w:val="24"/>
          <w:szCs w:val="24"/>
        </w:rPr>
        <w:t xml:space="preserve"> pamiętać, że</w:t>
      </w:r>
      <w:r w:rsidR="007947F7">
        <w:rPr>
          <w:rFonts w:asciiTheme="minorHAnsi" w:hAnsiTheme="minorHAnsi" w:cstheme="minorHAnsi"/>
          <w:sz w:val="24"/>
          <w:szCs w:val="24"/>
        </w:rPr>
        <w:t xml:space="preserve"> firmy</w:t>
      </w:r>
      <w:r w:rsidR="00B26D72">
        <w:rPr>
          <w:rFonts w:asciiTheme="minorHAnsi" w:hAnsiTheme="minorHAnsi" w:cstheme="minorHAnsi"/>
          <w:sz w:val="24"/>
          <w:szCs w:val="24"/>
        </w:rPr>
        <w:t xml:space="preserve"> </w:t>
      </w:r>
      <w:r w:rsidR="00BE193A">
        <w:rPr>
          <w:rFonts w:asciiTheme="minorHAnsi" w:hAnsiTheme="minorHAnsi" w:cstheme="minorHAnsi"/>
          <w:sz w:val="24"/>
          <w:szCs w:val="24"/>
        </w:rPr>
        <w:t>w </w:t>
      </w:r>
      <w:r w:rsidR="00F86AAD">
        <w:rPr>
          <w:rFonts w:asciiTheme="minorHAnsi" w:hAnsiTheme="minorHAnsi" w:cstheme="minorHAnsi"/>
          <w:sz w:val="24"/>
          <w:szCs w:val="24"/>
        </w:rPr>
        <w:t xml:space="preserve">ten sposób finansują </w:t>
      </w:r>
      <w:r w:rsidR="00B26D72">
        <w:rPr>
          <w:rFonts w:asciiTheme="minorHAnsi" w:hAnsiTheme="minorHAnsi" w:cstheme="minorHAnsi"/>
          <w:sz w:val="24"/>
          <w:szCs w:val="24"/>
        </w:rPr>
        <w:t>nie tylko</w:t>
      </w:r>
      <w:r w:rsidR="00607080">
        <w:rPr>
          <w:rFonts w:asciiTheme="minorHAnsi" w:hAnsiTheme="minorHAnsi" w:cstheme="minorHAnsi"/>
          <w:sz w:val="24"/>
          <w:szCs w:val="24"/>
        </w:rPr>
        <w:t xml:space="preserve"> auta</w:t>
      </w:r>
      <w:r w:rsidR="007947F7">
        <w:rPr>
          <w:rFonts w:asciiTheme="minorHAnsi" w:hAnsiTheme="minorHAnsi" w:cstheme="minorHAnsi"/>
          <w:sz w:val="24"/>
          <w:szCs w:val="24"/>
        </w:rPr>
        <w:t xml:space="preserve">. W </w:t>
      </w:r>
      <w:r w:rsidR="004616C5">
        <w:rPr>
          <w:rFonts w:asciiTheme="minorHAnsi" w:hAnsiTheme="minorHAnsi" w:cstheme="minorHAnsi"/>
          <w:sz w:val="24"/>
          <w:szCs w:val="24"/>
        </w:rPr>
        <w:t>2018</w:t>
      </w:r>
      <w:r w:rsidR="007947F7">
        <w:rPr>
          <w:rFonts w:asciiTheme="minorHAnsi" w:hAnsiTheme="minorHAnsi" w:cstheme="minorHAnsi"/>
          <w:sz w:val="24"/>
          <w:szCs w:val="24"/>
        </w:rPr>
        <w:t xml:space="preserve"> r</w:t>
      </w:r>
      <w:r w:rsidR="004616C5">
        <w:rPr>
          <w:rFonts w:asciiTheme="minorHAnsi" w:hAnsiTheme="minorHAnsi" w:cstheme="minorHAnsi"/>
          <w:sz w:val="24"/>
          <w:szCs w:val="24"/>
        </w:rPr>
        <w:t>.</w:t>
      </w:r>
      <w:r w:rsidR="00607080">
        <w:rPr>
          <w:rFonts w:asciiTheme="minorHAnsi" w:hAnsiTheme="minorHAnsi" w:cstheme="minorHAnsi"/>
          <w:sz w:val="24"/>
          <w:szCs w:val="24"/>
        </w:rPr>
        <w:t xml:space="preserve"> 26,3 proc.</w:t>
      </w:r>
      <w:r w:rsidR="007947F7">
        <w:rPr>
          <w:rFonts w:asciiTheme="minorHAnsi" w:hAnsiTheme="minorHAnsi" w:cstheme="minorHAnsi"/>
          <w:sz w:val="24"/>
          <w:szCs w:val="24"/>
        </w:rPr>
        <w:t xml:space="preserve"> przedmiotów</w:t>
      </w:r>
      <w:r w:rsidR="00607080">
        <w:rPr>
          <w:rFonts w:asciiTheme="minorHAnsi" w:hAnsiTheme="minorHAnsi" w:cstheme="minorHAnsi"/>
          <w:sz w:val="24"/>
          <w:szCs w:val="24"/>
        </w:rPr>
        <w:t xml:space="preserve"> </w:t>
      </w:r>
      <w:r w:rsidR="00F86AAD">
        <w:rPr>
          <w:rFonts w:asciiTheme="minorHAnsi" w:hAnsiTheme="minorHAnsi" w:cstheme="minorHAnsi"/>
          <w:sz w:val="24"/>
          <w:szCs w:val="24"/>
        </w:rPr>
        <w:t xml:space="preserve">stanowiły </w:t>
      </w:r>
      <w:r w:rsidR="00607080">
        <w:rPr>
          <w:rFonts w:asciiTheme="minorHAnsi" w:hAnsiTheme="minorHAnsi" w:cstheme="minorHAnsi"/>
          <w:sz w:val="24"/>
          <w:szCs w:val="24"/>
        </w:rPr>
        <w:t>maszyn</w:t>
      </w:r>
      <w:r w:rsidR="00F86AAD">
        <w:rPr>
          <w:rFonts w:asciiTheme="minorHAnsi" w:hAnsiTheme="minorHAnsi" w:cstheme="minorHAnsi"/>
          <w:sz w:val="24"/>
          <w:szCs w:val="24"/>
        </w:rPr>
        <w:t>y</w:t>
      </w:r>
      <w:r w:rsidR="00BE193A">
        <w:rPr>
          <w:rFonts w:asciiTheme="minorHAnsi" w:hAnsiTheme="minorHAnsi" w:cstheme="minorHAnsi"/>
          <w:sz w:val="24"/>
          <w:szCs w:val="24"/>
        </w:rPr>
        <w:t xml:space="preserve"> i </w:t>
      </w:r>
      <w:r w:rsidR="00607080">
        <w:rPr>
          <w:rFonts w:asciiTheme="minorHAnsi" w:hAnsiTheme="minorHAnsi" w:cstheme="minorHAnsi"/>
          <w:sz w:val="24"/>
          <w:szCs w:val="24"/>
        </w:rPr>
        <w:t>inn</w:t>
      </w:r>
      <w:r w:rsidR="00F86AAD">
        <w:rPr>
          <w:rFonts w:asciiTheme="minorHAnsi" w:hAnsiTheme="minorHAnsi" w:cstheme="minorHAnsi"/>
          <w:sz w:val="24"/>
          <w:szCs w:val="24"/>
        </w:rPr>
        <w:t>e</w:t>
      </w:r>
      <w:r w:rsidR="00607080">
        <w:rPr>
          <w:rFonts w:asciiTheme="minorHAnsi" w:hAnsiTheme="minorHAnsi" w:cstheme="minorHAnsi"/>
          <w:sz w:val="24"/>
          <w:szCs w:val="24"/>
        </w:rPr>
        <w:t xml:space="preserve"> urządze</w:t>
      </w:r>
      <w:r w:rsidR="00F86AAD">
        <w:rPr>
          <w:rFonts w:asciiTheme="minorHAnsi" w:hAnsiTheme="minorHAnsi" w:cstheme="minorHAnsi"/>
          <w:sz w:val="24"/>
          <w:szCs w:val="24"/>
        </w:rPr>
        <w:t>nia</w:t>
      </w:r>
      <w:r w:rsidR="000947FB">
        <w:rPr>
          <w:rFonts w:asciiTheme="minorHAnsi" w:hAnsiTheme="minorHAnsi" w:cstheme="minorHAnsi"/>
          <w:sz w:val="24"/>
          <w:szCs w:val="24"/>
        </w:rPr>
        <w:t>,</w:t>
      </w:r>
      <w:r w:rsidR="00607080">
        <w:rPr>
          <w:rFonts w:asciiTheme="minorHAnsi" w:hAnsiTheme="minorHAnsi" w:cstheme="minorHAnsi"/>
          <w:sz w:val="24"/>
          <w:szCs w:val="24"/>
        </w:rPr>
        <w:t xml:space="preserve"> w tym IT, a ich </w:t>
      </w:r>
      <w:r w:rsidR="00B61AB5">
        <w:rPr>
          <w:rFonts w:asciiTheme="minorHAnsi" w:hAnsiTheme="minorHAnsi" w:cstheme="minorHAnsi"/>
          <w:sz w:val="24"/>
          <w:szCs w:val="24"/>
        </w:rPr>
        <w:t>łączna wartość sięgała</w:t>
      </w:r>
      <w:r w:rsidR="00607080">
        <w:rPr>
          <w:rFonts w:asciiTheme="minorHAnsi" w:hAnsiTheme="minorHAnsi" w:cstheme="minorHAnsi"/>
          <w:sz w:val="24"/>
          <w:szCs w:val="24"/>
        </w:rPr>
        <w:t xml:space="preserve"> prawie 22 mld zł</w:t>
      </w:r>
      <w:r w:rsidR="00B61AB5">
        <w:rPr>
          <w:rFonts w:asciiTheme="minorHAnsi" w:hAnsiTheme="minorHAnsi" w:cstheme="minorHAnsi"/>
          <w:sz w:val="24"/>
          <w:szCs w:val="24"/>
        </w:rPr>
        <w:t xml:space="preserve"> i</w:t>
      </w:r>
      <w:r w:rsidR="00B9181C">
        <w:rPr>
          <w:rFonts w:asciiTheme="minorHAnsi" w:hAnsiTheme="minorHAnsi" w:cstheme="minorHAnsi"/>
          <w:sz w:val="24"/>
          <w:szCs w:val="24"/>
        </w:rPr>
        <w:t xml:space="preserve"> wzrosła względem 2017 r. aż o </w:t>
      </w:r>
      <w:r w:rsidR="00607080">
        <w:rPr>
          <w:rFonts w:asciiTheme="minorHAnsi" w:hAnsiTheme="minorHAnsi" w:cstheme="minorHAnsi"/>
          <w:sz w:val="24"/>
          <w:szCs w:val="24"/>
        </w:rPr>
        <w:t xml:space="preserve">17,7 proc. </w:t>
      </w:r>
    </w:p>
    <w:p w14:paraId="484F6760" w14:textId="46E205B9" w:rsidR="00B61AB5" w:rsidRPr="00B51C42" w:rsidRDefault="00B9357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Leasing pozwala zrealizować wiele różnych inwestycji w zależności od potrz</w:t>
      </w:r>
      <w:r w:rsidR="004A01DE">
        <w:rPr>
          <w:rFonts w:asciiTheme="minorHAnsi" w:hAnsiTheme="minorHAnsi" w:cstheme="minorHAnsi"/>
          <w:sz w:val="24"/>
          <w:szCs w:val="24"/>
        </w:rPr>
        <w:t>eb</w:t>
      </w:r>
      <w:r>
        <w:rPr>
          <w:rFonts w:asciiTheme="minorHAnsi" w:hAnsiTheme="minorHAnsi" w:cstheme="minorHAnsi"/>
          <w:sz w:val="24"/>
          <w:szCs w:val="24"/>
        </w:rPr>
        <w:t xml:space="preserve"> przedsiębiorców</w:t>
      </w:r>
      <w:r w:rsidR="00A807B4">
        <w:rPr>
          <w:rFonts w:asciiTheme="minorHAnsi" w:hAnsiTheme="minorHAnsi" w:cstheme="minorHAnsi"/>
          <w:sz w:val="24"/>
          <w:szCs w:val="24"/>
        </w:rPr>
        <w:t xml:space="preserve"> i </w:t>
      </w:r>
      <w:r w:rsidR="000947FB">
        <w:rPr>
          <w:rFonts w:asciiTheme="minorHAnsi" w:hAnsiTheme="minorHAnsi" w:cstheme="minorHAnsi"/>
          <w:sz w:val="24"/>
          <w:szCs w:val="24"/>
        </w:rPr>
        <w:t>specyfiki branż w których działają</w:t>
      </w:r>
      <w:r w:rsidR="004A01DE">
        <w:rPr>
          <w:rFonts w:asciiTheme="minorHAnsi" w:hAnsiTheme="minorHAnsi" w:cstheme="minorHAnsi"/>
          <w:sz w:val="24"/>
          <w:szCs w:val="24"/>
        </w:rPr>
        <w:t xml:space="preserve">. Poza maszynami i urządzeniami przemysłowymi może to być wyposażenie IT czy różnego rodzaju mniejszy sprzęt do pracy. </w:t>
      </w:r>
      <w:r w:rsidR="00AB7CF5">
        <w:rPr>
          <w:rFonts w:asciiTheme="minorHAnsi" w:hAnsiTheme="minorHAnsi" w:cstheme="minorHAnsi"/>
          <w:sz w:val="24"/>
          <w:szCs w:val="24"/>
        </w:rPr>
        <w:t>Ta</w:t>
      </w:r>
      <w:r w:rsidR="00F04B54">
        <w:rPr>
          <w:rFonts w:asciiTheme="minorHAnsi" w:hAnsiTheme="minorHAnsi" w:cstheme="minorHAnsi"/>
          <w:sz w:val="24"/>
          <w:szCs w:val="24"/>
        </w:rPr>
        <w:t xml:space="preserve"> forma finansowania jest również bardzo elastyczna pod względem wartość leasingowanych przedmiotów i może się zaczynać już od tysiąca złotych </w:t>
      </w:r>
      <w:r w:rsidR="00201038" w:rsidRPr="00A2113C">
        <w:rPr>
          <w:rFonts w:asciiTheme="minorHAnsi" w:hAnsiTheme="minorHAnsi" w:cstheme="minorHAnsi"/>
          <w:sz w:val="24"/>
          <w:szCs w:val="24"/>
        </w:rPr>
        <w:t>–</w:t>
      </w:r>
      <w:r w:rsidR="00B61AB5" w:rsidRPr="00B51C42">
        <w:rPr>
          <w:rFonts w:asciiTheme="minorHAnsi" w:hAnsiTheme="minorHAnsi" w:cstheme="minorHAnsi"/>
          <w:sz w:val="24"/>
          <w:szCs w:val="24"/>
        </w:rPr>
        <w:t xml:space="preserve"> mówi </w:t>
      </w:r>
      <w:r w:rsidR="006D7291">
        <w:rPr>
          <w:rFonts w:asciiTheme="minorHAnsi" w:hAnsiTheme="minorHAnsi" w:cstheme="minorHAnsi"/>
          <w:sz w:val="24"/>
          <w:szCs w:val="24"/>
        </w:rPr>
        <w:t>Grzegorz Jarzębski, Szef linii biznesowej Asset Finance w</w:t>
      </w:r>
      <w:r w:rsidR="007947F7" w:rsidRPr="00B51C42">
        <w:rPr>
          <w:rFonts w:asciiTheme="minorHAnsi" w:hAnsiTheme="minorHAnsi" w:cstheme="minorHAnsi"/>
          <w:sz w:val="24"/>
          <w:szCs w:val="24"/>
        </w:rPr>
        <w:t xml:space="preserve"> Siemens Financial Services. </w:t>
      </w:r>
    </w:p>
    <w:p w14:paraId="052E951C" w14:textId="424C017F" w:rsidR="007947F7" w:rsidRDefault="008C0487" w:rsidP="007947F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Mit drugi: l</w:t>
      </w:r>
      <w:r w:rsidR="007947F7">
        <w:rPr>
          <w:rFonts w:asciiTheme="minorHAnsi" w:hAnsiTheme="minorHAnsi" w:cstheme="minorHAnsi"/>
          <w:b/>
          <w:sz w:val="24"/>
          <w:szCs w:val="24"/>
        </w:rPr>
        <w:t>easing</w:t>
      </w:r>
      <w:r w:rsidR="00F04B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47F7">
        <w:rPr>
          <w:rFonts w:asciiTheme="minorHAnsi" w:hAnsiTheme="minorHAnsi" w:cstheme="minorHAnsi"/>
          <w:b/>
          <w:sz w:val="24"/>
          <w:szCs w:val="24"/>
        </w:rPr>
        <w:t>tylko od banku</w:t>
      </w:r>
    </w:p>
    <w:p w14:paraId="7612CE07" w14:textId="73016A89" w:rsidR="009B1C9A" w:rsidRDefault="00E7742F" w:rsidP="007947F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Największe firmy </w:t>
      </w:r>
      <w:r w:rsidR="000947FB">
        <w:rPr>
          <w:rFonts w:asciiTheme="minorHAnsi" w:hAnsiTheme="minorHAnsi" w:cstheme="minorHAnsi"/>
          <w:sz w:val="24"/>
          <w:szCs w:val="24"/>
        </w:rPr>
        <w:t xml:space="preserve">leasingowe </w:t>
      </w:r>
      <w:r>
        <w:rPr>
          <w:rFonts w:asciiTheme="minorHAnsi" w:hAnsiTheme="minorHAnsi" w:cstheme="minorHAnsi"/>
          <w:sz w:val="24"/>
          <w:szCs w:val="24"/>
        </w:rPr>
        <w:t xml:space="preserve">w Polsce należą do banków. Warto jednak pamiętać, że </w:t>
      </w:r>
      <w:r w:rsidR="009222BD">
        <w:rPr>
          <w:rFonts w:asciiTheme="minorHAnsi" w:hAnsiTheme="minorHAnsi" w:cstheme="minorHAnsi"/>
          <w:sz w:val="24"/>
          <w:szCs w:val="24"/>
        </w:rPr>
        <w:t xml:space="preserve">rynek </w:t>
      </w:r>
      <w:r w:rsidR="00A807B4">
        <w:rPr>
          <w:rFonts w:asciiTheme="minorHAnsi" w:hAnsiTheme="minorHAnsi" w:cstheme="minorHAnsi"/>
          <w:sz w:val="24"/>
          <w:szCs w:val="24"/>
        </w:rPr>
        <w:t>ten jest duży i podmiotów, od których</w:t>
      </w:r>
      <w:r w:rsidR="009222BD">
        <w:rPr>
          <w:rFonts w:asciiTheme="minorHAnsi" w:hAnsiTheme="minorHAnsi" w:cstheme="minorHAnsi"/>
          <w:sz w:val="24"/>
          <w:szCs w:val="24"/>
        </w:rPr>
        <w:t xml:space="preserve"> można uzyskać tego typu finansowanie jest więcej. Dlatego przedsiębiorc</w:t>
      </w:r>
      <w:r w:rsidR="00A807B4">
        <w:rPr>
          <w:rFonts w:asciiTheme="minorHAnsi" w:hAnsiTheme="minorHAnsi" w:cstheme="minorHAnsi"/>
          <w:sz w:val="24"/>
          <w:szCs w:val="24"/>
        </w:rPr>
        <w:t>y</w:t>
      </w:r>
      <w:r w:rsidR="00866758">
        <w:rPr>
          <w:rFonts w:asciiTheme="minorHAnsi" w:hAnsiTheme="minorHAnsi" w:cstheme="minorHAnsi"/>
          <w:sz w:val="24"/>
          <w:szCs w:val="24"/>
        </w:rPr>
        <w:t>, którzy szukają</w:t>
      </w:r>
      <w:r w:rsidR="00A807B4">
        <w:rPr>
          <w:rFonts w:asciiTheme="minorHAnsi" w:hAnsiTheme="minorHAnsi" w:cstheme="minorHAnsi"/>
          <w:sz w:val="24"/>
          <w:szCs w:val="24"/>
        </w:rPr>
        <w:t xml:space="preserve"> </w:t>
      </w:r>
      <w:r w:rsidR="009222BD">
        <w:rPr>
          <w:rFonts w:asciiTheme="minorHAnsi" w:hAnsiTheme="minorHAnsi" w:cstheme="minorHAnsi"/>
          <w:sz w:val="24"/>
          <w:szCs w:val="24"/>
        </w:rPr>
        <w:t>leasingu</w:t>
      </w:r>
      <w:r w:rsidR="007C6715">
        <w:rPr>
          <w:rFonts w:asciiTheme="minorHAnsi" w:hAnsiTheme="minorHAnsi" w:cstheme="minorHAnsi"/>
          <w:sz w:val="24"/>
          <w:szCs w:val="24"/>
        </w:rPr>
        <w:t>,</w:t>
      </w:r>
      <w:r w:rsidR="009222BD">
        <w:rPr>
          <w:rFonts w:asciiTheme="minorHAnsi" w:hAnsiTheme="minorHAnsi" w:cstheme="minorHAnsi"/>
          <w:sz w:val="24"/>
          <w:szCs w:val="24"/>
        </w:rPr>
        <w:t xml:space="preserve"> powinni zapoznać się z ofertą wielu firm oraz porównać proponowane warunki</w:t>
      </w:r>
      <w:r w:rsidR="00866758">
        <w:rPr>
          <w:rFonts w:asciiTheme="minorHAnsi" w:hAnsiTheme="minorHAnsi" w:cstheme="minorHAnsi"/>
          <w:sz w:val="24"/>
          <w:szCs w:val="24"/>
        </w:rPr>
        <w:t>,</w:t>
      </w:r>
      <w:r w:rsidR="00525A3D">
        <w:rPr>
          <w:rFonts w:asciiTheme="minorHAnsi" w:hAnsiTheme="minorHAnsi" w:cstheme="minorHAnsi"/>
          <w:sz w:val="24"/>
          <w:szCs w:val="24"/>
        </w:rPr>
        <w:t xml:space="preserve"> ponieważ</w:t>
      </w:r>
      <w:r w:rsidR="00866758">
        <w:rPr>
          <w:rFonts w:asciiTheme="minorHAnsi" w:hAnsiTheme="minorHAnsi" w:cstheme="minorHAnsi"/>
          <w:sz w:val="24"/>
          <w:szCs w:val="24"/>
        </w:rPr>
        <w:t xml:space="preserve"> </w:t>
      </w:r>
      <w:r w:rsidR="00866758" w:rsidRPr="00B51C42">
        <w:rPr>
          <w:rFonts w:asciiTheme="minorHAnsi" w:hAnsiTheme="minorHAnsi" w:cstheme="minorHAnsi"/>
          <w:sz w:val="24"/>
          <w:szCs w:val="24"/>
        </w:rPr>
        <w:t xml:space="preserve">często </w:t>
      </w:r>
      <w:r w:rsidR="00525A3D" w:rsidRPr="00B51C42">
        <w:rPr>
          <w:rFonts w:asciiTheme="minorHAnsi" w:hAnsiTheme="minorHAnsi" w:cstheme="minorHAnsi"/>
          <w:sz w:val="24"/>
          <w:szCs w:val="24"/>
        </w:rPr>
        <w:t xml:space="preserve">mogą one być </w:t>
      </w:r>
      <w:r w:rsidR="00866758" w:rsidRPr="00B51C42">
        <w:rPr>
          <w:rFonts w:asciiTheme="minorHAnsi" w:hAnsiTheme="minorHAnsi" w:cstheme="minorHAnsi"/>
          <w:sz w:val="24"/>
          <w:szCs w:val="24"/>
        </w:rPr>
        <w:t>dużo bardziej elastyczne</w:t>
      </w:r>
      <w:r w:rsidR="00525A3D">
        <w:rPr>
          <w:rFonts w:asciiTheme="minorHAnsi" w:hAnsiTheme="minorHAnsi" w:cstheme="minorHAnsi"/>
          <w:sz w:val="24"/>
          <w:szCs w:val="24"/>
        </w:rPr>
        <w:t xml:space="preserve"> w zależności od leasingodawcy</w:t>
      </w:r>
      <w:r w:rsidR="009222BD">
        <w:rPr>
          <w:rFonts w:asciiTheme="minorHAnsi" w:hAnsiTheme="minorHAnsi" w:cstheme="minorHAnsi"/>
          <w:sz w:val="24"/>
          <w:szCs w:val="24"/>
        </w:rPr>
        <w:t>. W przypadku mniejszych podmiotów wa</w:t>
      </w:r>
      <w:r w:rsidR="00D40197">
        <w:rPr>
          <w:rFonts w:asciiTheme="minorHAnsi" w:hAnsiTheme="minorHAnsi" w:cstheme="minorHAnsi"/>
          <w:sz w:val="24"/>
          <w:szCs w:val="24"/>
        </w:rPr>
        <w:t>żne</w:t>
      </w:r>
      <w:r w:rsidR="009222BD">
        <w:rPr>
          <w:rFonts w:asciiTheme="minorHAnsi" w:hAnsiTheme="minorHAnsi" w:cstheme="minorHAnsi"/>
          <w:sz w:val="24"/>
          <w:szCs w:val="24"/>
        </w:rPr>
        <w:t xml:space="preserve"> jest</w:t>
      </w:r>
      <w:r w:rsidR="00D40197">
        <w:rPr>
          <w:rFonts w:asciiTheme="minorHAnsi" w:hAnsiTheme="minorHAnsi" w:cstheme="minorHAnsi"/>
          <w:sz w:val="24"/>
          <w:szCs w:val="24"/>
        </w:rPr>
        <w:t>, by</w:t>
      </w:r>
      <w:r w:rsidR="009222BD">
        <w:rPr>
          <w:rFonts w:asciiTheme="minorHAnsi" w:hAnsiTheme="minorHAnsi" w:cstheme="minorHAnsi"/>
          <w:sz w:val="24"/>
          <w:szCs w:val="24"/>
        </w:rPr>
        <w:t xml:space="preserve"> </w:t>
      </w:r>
      <w:r w:rsidR="00D40197">
        <w:rPr>
          <w:rFonts w:asciiTheme="minorHAnsi" w:hAnsiTheme="minorHAnsi" w:cstheme="minorHAnsi"/>
          <w:sz w:val="24"/>
          <w:szCs w:val="24"/>
        </w:rPr>
        <w:t>sprawdzić</w:t>
      </w:r>
      <w:r w:rsidR="00516C67">
        <w:rPr>
          <w:rFonts w:asciiTheme="minorHAnsi" w:hAnsiTheme="minorHAnsi" w:cstheme="minorHAnsi"/>
          <w:sz w:val="24"/>
          <w:szCs w:val="24"/>
        </w:rPr>
        <w:t xml:space="preserve"> </w:t>
      </w:r>
      <w:r w:rsidR="00D40197">
        <w:rPr>
          <w:rFonts w:asciiTheme="minorHAnsi" w:hAnsiTheme="minorHAnsi" w:cstheme="minorHAnsi"/>
          <w:sz w:val="24"/>
          <w:szCs w:val="24"/>
        </w:rPr>
        <w:t>ich wiarygodność</w:t>
      </w:r>
      <w:r w:rsidR="009222BD">
        <w:rPr>
          <w:rFonts w:asciiTheme="minorHAnsi" w:hAnsiTheme="minorHAnsi" w:cstheme="minorHAnsi"/>
          <w:sz w:val="24"/>
          <w:szCs w:val="24"/>
        </w:rPr>
        <w:t xml:space="preserve"> -</w:t>
      </w:r>
      <w:r w:rsidR="00D40197">
        <w:rPr>
          <w:rFonts w:asciiTheme="minorHAnsi" w:hAnsiTheme="minorHAnsi" w:cstheme="minorHAnsi"/>
          <w:sz w:val="24"/>
          <w:szCs w:val="24"/>
        </w:rPr>
        <w:t xml:space="preserve"> doświadczenie</w:t>
      </w:r>
      <w:r w:rsidR="009222BD">
        <w:rPr>
          <w:rFonts w:asciiTheme="minorHAnsi" w:hAnsiTheme="minorHAnsi" w:cstheme="minorHAnsi"/>
          <w:sz w:val="24"/>
          <w:szCs w:val="24"/>
        </w:rPr>
        <w:t xml:space="preserve"> spółki</w:t>
      </w:r>
      <w:r w:rsidR="00AB7CF5">
        <w:rPr>
          <w:rFonts w:asciiTheme="minorHAnsi" w:hAnsiTheme="minorHAnsi" w:cstheme="minorHAnsi"/>
          <w:sz w:val="24"/>
          <w:szCs w:val="24"/>
        </w:rPr>
        <w:t xml:space="preserve"> oraz jej zaplecze</w:t>
      </w:r>
      <w:r w:rsidR="009222BD">
        <w:rPr>
          <w:rFonts w:asciiTheme="minorHAnsi" w:hAnsiTheme="minorHAnsi" w:cstheme="minorHAnsi"/>
          <w:sz w:val="24"/>
          <w:szCs w:val="24"/>
        </w:rPr>
        <w:t xml:space="preserve"> finansowe.</w:t>
      </w:r>
    </w:p>
    <w:p w14:paraId="1464AE43" w14:textId="344183F6" w:rsidR="007947F7" w:rsidRDefault="009B1C9A" w:rsidP="007947F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tak rozwini</w:t>
      </w:r>
      <w:r w:rsidR="00346C04">
        <w:rPr>
          <w:rFonts w:asciiTheme="minorHAnsi" w:hAnsiTheme="minorHAnsi" w:cstheme="minorHAnsi"/>
          <w:sz w:val="24"/>
          <w:szCs w:val="24"/>
        </w:rPr>
        <w:t>ętym rynku</w:t>
      </w:r>
      <w:r>
        <w:rPr>
          <w:rFonts w:asciiTheme="minorHAnsi" w:hAnsiTheme="minorHAnsi" w:cstheme="minorHAnsi"/>
          <w:sz w:val="24"/>
          <w:szCs w:val="24"/>
        </w:rPr>
        <w:t xml:space="preserve"> leasingu jak polski, waż</w:t>
      </w:r>
      <w:r w:rsidR="00346C04">
        <w:rPr>
          <w:rFonts w:asciiTheme="minorHAnsi" w:hAnsiTheme="minorHAnsi" w:cstheme="minorHAnsi"/>
          <w:sz w:val="24"/>
          <w:szCs w:val="24"/>
        </w:rPr>
        <w:t xml:space="preserve">na jest również specjalizacja danej firmy. </w:t>
      </w:r>
      <w:r w:rsidR="00516C67">
        <w:rPr>
          <w:rFonts w:asciiTheme="minorHAnsi" w:hAnsiTheme="minorHAnsi" w:cstheme="minorHAnsi"/>
          <w:sz w:val="24"/>
          <w:szCs w:val="24"/>
        </w:rPr>
        <w:t>Przedsiębiorcy, którzy szukają finansowania np. na maszyny i urządzenia powinni zapoznać</w:t>
      </w:r>
      <w:r w:rsidR="00A807B4">
        <w:rPr>
          <w:rFonts w:asciiTheme="minorHAnsi" w:hAnsiTheme="minorHAnsi" w:cstheme="minorHAnsi"/>
          <w:sz w:val="24"/>
          <w:szCs w:val="24"/>
        </w:rPr>
        <w:t xml:space="preserve"> się z </w:t>
      </w:r>
      <w:r w:rsidR="00516C67">
        <w:rPr>
          <w:rFonts w:asciiTheme="minorHAnsi" w:hAnsiTheme="minorHAnsi" w:cstheme="minorHAnsi"/>
          <w:sz w:val="24"/>
          <w:szCs w:val="24"/>
        </w:rPr>
        <w:t xml:space="preserve">ofertą podmiotów mających największe doświadczenie w tym obszarze. </w:t>
      </w:r>
      <w:r w:rsidR="00A807B4">
        <w:rPr>
          <w:rFonts w:asciiTheme="minorHAnsi" w:hAnsiTheme="minorHAnsi" w:cstheme="minorHAnsi"/>
          <w:sz w:val="24"/>
          <w:szCs w:val="24"/>
        </w:rPr>
        <w:t>Firmy te posiadają</w:t>
      </w:r>
      <w:r w:rsidR="00516C67">
        <w:rPr>
          <w:rFonts w:asciiTheme="minorHAnsi" w:hAnsiTheme="minorHAnsi" w:cstheme="minorHAnsi"/>
          <w:sz w:val="24"/>
          <w:szCs w:val="24"/>
        </w:rPr>
        <w:t xml:space="preserve"> wieloletni know-how oraz na co dzień współpracują z największymi i najpopularniejszymi dostawcami takiego sprzętu, co znacząco może przyśpieszyć cały proces uzyskania </w:t>
      </w:r>
      <w:r w:rsidR="00562D05">
        <w:rPr>
          <w:rFonts w:asciiTheme="minorHAnsi" w:hAnsiTheme="minorHAnsi" w:cstheme="minorHAnsi"/>
          <w:sz w:val="24"/>
          <w:szCs w:val="24"/>
        </w:rPr>
        <w:t xml:space="preserve">maszyny. </w:t>
      </w:r>
    </w:p>
    <w:p w14:paraId="516C1640" w14:textId="2CA1D560" w:rsidR="009401BC" w:rsidRPr="00B61AB5" w:rsidRDefault="008C0487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Mit trzeci: l</w:t>
      </w:r>
      <w:r w:rsidR="00B61AB5" w:rsidRPr="00B61AB5">
        <w:rPr>
          <w:rFonts w:asciiTheme="minorHAnsi" w:hAnsiTheme="minorHAnsi" w:cstheme="minorHAnsi"/>
          <w:b/>
          <w:sz w:val="24"/>
          <w:szCs w:val="24"/>
        </w:rPr>
        <w:t>easingu nie można wziąć przez Internet</w:t>
      </w:r>
    </w:p>
    <w:p w14:paraId="38465A9B" w14:textId="6CAA6152" w:rsidR="00B61AB5" w:rsidRDefault="00B61AB5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Cyfryzacj</w:t>
      </w:r>
      <w:r w:rsidR="00F86AAD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wkracza bardzo szybko w każdą dziedzinę życia, również</w:t>
      </w:r>
      <w:r w:rsidR="005D02C2">
        <w:rPr>
          <w:rFonts w:asciiTheme="minorHAnsi" w:hAnsiTheme="minorHAnsi" w:cstheme="minorHAnsi"/>
          <w:sz w:val="24"/>
          <w:szCs w:val="24"/>
        </w:rPr>
        <w:t xml:space="preserve">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AAD">
        <w:rPr>
          <w:rFonts w:asciiTheme="minorHAnsi" w:hAnsiTheme="minorHAnsi" w:cstheme="minorHAnsi"/>
          <w:sz w:val="24"/>
          <w:szCs w:val="24"/>
        </w:rPr>
        <w:t>biznesie</w:t>
      </w:r>
      <w:r w:rsidR="00B9181C">
        <w:rPr>
          <w:rFonts w:asciiTheme="minorHAnsi" w:hAnsiTheme="minorHAnsi" w:cstheme="minorHAnsi"/>
          <w:sz w:val="24"/>
          <w:szCs w:val="24"/>
        </w:rPr>
        <w:t xml:space="preserve">. </w:t>
      </w:r>
      <w:r w:rsidR="009F436E">
        <w:rPr>
          <w:rFonts w:asciiTheme="minorHAnsi" w:hAnsiTheme="minorHAnsi" w:cstheme="minorHAnsi"/>
          <w:sz w:val="24"/>
          <w:szCs w:val="24"/>
        </w:rPr>
        <w:t>Właściciele f</w:t>
      </w:r>
      <w:r w:rsidR="00593036">
        <w:rPr>
          <w:rFonts w:asciiTheme="minorHAnsi" w:hAnsiTheme="minorHAnsi" w:cstheme="minorHAnsi"/>
          <w:sz w:val="24"/>
          <w:szCs w:val="24"/>
        </w:rPr>
        <w:t>irm</w:t>
      </w:r>
      <w:r w:rsidR="00C8176C">
        <w:rPr>
          <w:rFonts w:asciiTheme="minorHAnsi" w:hAnsiTheme="minorHAnsi" w:cstheme="minorHAnsi"/>
          <w:sz w:val="24"/>
          <w:szCs w:val="24"/>
        </w:rPr>
        <w:t xml:space="preserve"> bardzo chętnie robią zakupy w </w:t>
      </w:r>
      <w:r w:rsidR="00593036">
        <w:rPr>
          <w:rFonts w:asciiTheme="minorHAnsi" w:hAnsiTheme="minorHAnsi" w:cstheme="minorHAnsi"/>
          <w:sz w:val="24"/>
          <w:szCs w:val="24"/>
        </w:rPr>
        <w:t>sieci</w:t>
      </w:r>
      <w:r w:rsidR="00782B93">
        <w:rPr>
          <w:rFonts w:asciiTheme="minorHAnsi" w:hAnsiTheme="minorHAnsi" w:cstheme="minorHAnsi"/>
          <w:sz w:val="24"/>
          <w:szCs w:val="24"/>
        </w:rPr>
        <w:t xml:space="preserve"> i korzysta</w:t>
      </w:r>
      <w:r w:rsidR="00593036">
        <w:rPr>
          <w:rFonts w:asciiTheme="minorHAnsi" w:hAnsiTheme="minorHAnsi" w:cstheme="minorHAnsi"/>
          <w:sz w:val="24"/>
          <w:szCs w:val="24"/>
        </w:rPr>
        <w:t>ją</w:t>
      </w:r>
      <w:r w:rsidR="00782B93">
        <w:rPr>
          <w:rFonts w:asciiTheme="minorHAnsi" w:hAnsiTheme="minorHAnsi" w:cstheme="minorHAnsi"/>
          <w:sz w:val="24"/>
          <w:szCs w:val="24"/>
        </w:rPr>
        <w:t xml:space="preserve"> z bankowości internetowej</w:t>
      </w:r>
      <w:r w:rsidR="00C8176C">
        <w:rPr>
          <w:rFonts w:asciiTheme="minorHAnsi" w:hAnsiTheme="minorHAnsi" w:cstheme="minorHAnsi"/>
          <w:sz w:val="24"/>
          <w:szCs w:val="24"/>
        </w:rPr>
        <w:t xml:space="preserve">. Jak wynika z badania Siemens Financial Services, już </w:t>
      </w:r>
      <w:r w:rsidR="005F73ED">
        <w:rPr>
          <w:rFonts w:asciiTheme="minorHAnsi" w:hAnsiTheme="minorHAnsi" w:cstheme="minorHAnsi"/>
          <w:sz w:val="24"/>
          <w:szCs w:val="24"/>
        </w:rPr>
        <w:t>w 2016 r. średnio co drugi przedsiębiorca z sektora mikro i MŚP kupował</w:t>
      </w:r>
      <w:r w:rsidR="00C8176C">
        <w:rPr>
          <w:rFonts w:asciiTheme="minorHAnsi" w:hAnsiTheme="minorHAnsi" w:cstheme="minorHAnsi"/>
          <w:sz w:val="24"/>
          <w:szCs w:val="24"/>
        </w:rPr>
        <w:t xml:space="preserve"> rzeczy do firmy w sklepach e-commer</w:t>
      </w:r>
      <w:r w:rsidR="005F73ED">
        <w:rPr>
          <w:rFonts w:asciiTheme="minorHAnsi" w:hAnsiTheme="minorHAnsi" w:cstheme="minorHAnsi"/>
          <w:sz w:val="24"/>
          <w:szCs w:val="24"/>
        </w:rPr>
        <w:t>ce, a blisko co czwarty był zainteresowany</w:t>
      </w:r>
      <w:r w:rsidR="00C8176C">
        <w:rPr>
          <w:rFonts w:asciiTheme="minorHAnsi" w:hAnsiTheme="minorHAnsi" w:cstheme="minorHAnsi"/>
          <w:sz w:val="24"/>
          <w:szCs w:val="24"/>
        </w:rPr>
        <w:t xml:space="preserve"> leasingiem online. </w:t>
      </w:r>
      <w:r w:rsidR="009F436E">
        <w:rPr>
          <w:rFonts w:asciiTheme="minorHAnsi" w:hAnsiTheme="minorHAnsi" w:cstheme="minorHAnsi"/>
          <w:sz w:val="24"/>
          <w:szCs w:val="24"/>
        </w:rPr>
        <w:t>Mimo to możliwość wzięcia leasingu całkow</w:t>
      </w:r>
      <w:r w:rsidR="00593036">
        <w:rPr>
          <w:rFonts w:asciiTheme="minorHAnsi" w:hAnsiTheme="minorHAnsi" w:cstheme="minorHAnsi"/>
          <w:sz w:val="24"/>
          <w:szCs w:val="24"/>
        </w:rPr>
        <w:t>icie przez Internet</w:t>
      </w:r>
      <w:r w:rsidR="00BE193A">
        <w:rPr>
          <w:rFonts w:asciiTheme="minorHAnsi" w:hAnsiTheme="minorHAnsi" w:cstheme="minorHAnsi"/>
          <w:sz w:val="24"/>
          <w:szCs w:val="24"/>
        </w:rPr>
        <w:t xml:space="preserve"> jest ograniczona, a </w:t>
      </w:r>
      <w:r w:rsidR="009F436E">
        <w:rPr>
          <w:rFonts w:asciiTheme="minorHAnsi" w:hAnsiTheme="minorHAnsi" w:cstheme="minorHAnsi"/>
          <w:sz w:val="24"/>
          <w:szCs w:val="24"/>
        </w:rPr>
        <w:t>według niektórych nawet niemożliwa.</w:t>
      </w:r>
    </w:p>
    <w:p w14:paraId="3B7FAD74" w14:textId="2D3A4051" w:rsidR="007947F7" w:rsidRDefault="0048120A" w:rsidP="007947F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16591482"/>
      <w:r w:rsidRPr="00A2113C">
        <w:rPr>
          <w:rFonts w:asciiTheme="minorHAnsi" w:hAnsiTheme="minorHAnsi" w:cstheme="minorHAnsi"/>
          <w:sz w:val="24"/>
          <w:szCs w:val="24"/>
        </w:rPr>
        <w:t xml:space="preserve">- </w:t>
      </w:r>
      <w:r w:rsidR="007076DD">
        <w:rPr>
          <w:rFonts w:asciiTheme="minorHAnsi" w:hAnsiTheme="minorHAnsi" w:cstheme="minorHAnsi"/>
          <w:sz w:val="24"/>
          <w:szCs w:val="24"/>
        </w:rPr>
        <w:t>Naturalnym etapem rozwoju</w:t>
      </w:r>
      <w:r w:rsidR="00AB7CF5">
        <w:rPr>
          <w:rFonts w:asciiTheme="minorHAnsi" w:hAnsiTheme="minorHAnsi" w:cstheme="minorHAnsi"/>
          <w:sz w:val="24"/>
          <w:szCs w:val="24"/>
        </w:rPr>
        <w:t xml:space="preserve"> </w:t>
      </w:r>
      <w:r w:rsidR="00866758">
        <w:rPr>
          <w:rFonts w:asciiTheme="minorHAnsi" w:hAnsiTheme="minorHAnsi" w:cstheme="minorHAnsi"/>
          <w:sz w:val="24"/>
          <w:szCs w:val="24"/>
        </w:rPr>
        <w:t xml:space="preserve">całej gospodarki, a w tym </w:t>
      </w:r>
      <w:r w:rsidR="00AB7CF5">
        <w:rPr>
          <w:rFonts w:asciiTheme="minorHAnsi" w:hAnsiTheme="minorHAnsi" w:cstheme="minorHAnsi"/>
          <w:sz w:val="24"/>
          <w:szCs w:val="24"/>
        </w:rPr>
        <w:t>leasingu jest</w:t>
      </w:r>
      <w:r w:rsidR="00DF1A71">
        <w:rPr>
          <w:rFonts w:asciiTheme="minorHAnsi" w:hAnsiTheme="minorHAnsi" w:cstheme="minorHAnsi"/>
          <w:sz w:val="24"/>
          <w:szCs w:val="24"/>
        </w:rPr>
        <w:t xml:space="preserve"> większa cyfryzacja i </w:t>
      </w:r>
      <w:r w:rsidR="007076DD">
        <w:rPr>
          <w:rFonts w:asciiTheme="minorHAnsi" w:hAnsiTheme="minorHAnsi" w:cstheme="minorHAnsi"/>
          <w:sz w:val="24"/>
          <w:szCs w:val="24"/>
        </w:rPr>
        <w:t xml:space="preserve">przeniesienie procesu jego uzyskania do </w:t>
      </w:r>
      <w:r w:rsidR="00763B3B">
        <w:rPr>
          <w:rFonts w:asciiTheme="minorHAnsi" w:hAnsiTheme="minorHAnsi" w:cstheme="minorHAnsi"/>
          <w:sz w:val="24"/>
          <w:szCs w:val="24"/>
        </w:rPr>
        <w:t>Internetu.</w:t>
      </w:r>
      <w:r w:rsidRPr="00A2113C">
        <w:rPr>
          <w:rFonts w:asciiTheme="minorHAnsi" w:hAnsiTheme="minorHAnsi" w:cstheme="minorHAnsi"/>
          <w:sz w:val="24"/>
          <w:szCs w:val="24"/>
        </w:rPr>
        <w:t xml:space="preserve"> Ze względu na normy prawne </w:t>
      </w:r>
      <w:r w:rsidR="00866758">
        <w:rPr>
          <w:rFonts w:asciiTheme="minorHAnsi" w:hAnsiTheme="minorHAnsi" w:cstheme="minorHAnsi"/>
          <w:sz w:val="24"/>
          <w:szCs w:val="24"/>
        </w:rPr>
        <w:t xml:space="preserve">transformacja </w:t>
      </w:r>
      <w:r w:rsidR="00866758">
        <w:rPr>
          <w:rFonts w:asciiTheme="minorHAnsi" w:hAnsiTheme="minorHAnsi" w:cstheme="minorHAnsi"/>
          <w:sz w:val="24"/>
          <w:szCs w:val="24"/>
        </w:rPr>
        <w:lastRenderedPageBreak/>
        <w:t xml:space="preserve">cyfrowa rynku leasingu </w:t>
      </w:r>
      <w:r w:rsidRPr="00A2113C">
        <w:rPr>
          <w:rFonts w:asciiTheme="minorHAnsi" w:hAnsiTheme="minorHAnsi" w:cstheme="minorHAnsi"/>
          <w:sz w:val="24"/>
          <w:szCs w:val="24"/>
        </w:rPr>
        <w:t>przebiega</w:t>
      </w:r>
      <w:r w:rsidR="00866758">
        <w:rPr>
          <w:rFonts w:asciiTheme="minorHAnsi" w:hAnsiTheme="minorHAnsi" w:cstheme="minorHAnsi"/>
          <w:sz w:val="24"/>
          <w:szCs w:val="24"/>
        </w:rPr>
        <w:t xml:space="preserve"> </w:t>
      </w:r>
      <w:r w:rsidRPr="00A2113C">
        <w:rPr>
          <w:rFonts w:asciiTheme="minorHAnsi" w:hAnsiTheme="minorHAnsi" w:cstheme="minorHAnsi"/>
          <w:sz w:val="24"/>
          <w:szCs w:val="24"/>
        </w:rPr>
        <w:t>wolniej, ale na pewno będzie postępowa</w:t>
      </w:r>
      <w:r w:rsidR="00866758">
        <w:rPr>
          <w:rFonts w:asciiTheme="minorHAnsi" w:hAnsiTheme="minorHAnsi" w:cstheme="minorHAnsi"/>
          <w:sz w:val="24"/>
          <w:szCs w:val="24"/>
        </w:rPr>
        <w:t>ć</w:t>
      </w:r>
      <w:r w:rsidR="00CF3187" w:rsidRPr="00A2113C">
        <w:rPr>
          <w:rFonts w:asciiTheme="minorHAnsi" w:hAnsiTheme="minorHAnsi" w:cstheme="minorHAnsi"/>
          <w:sz w:val="24"/>
          <w:szCs w:val="24"/>
        </w:rPr>
        <w:t xml:space="preserve">. </w:t>
      </w:r>
      <w:r w:rsidR="0008525A" w:rsidRPr="00A2113C">
        <w:rPr>
          <w:rFonts w:asciiTheme="minorHAnsi" w:hAnsiTheme="minorHAnsi" w:cstheme="minorHAnsi"/>
          <w:sz w:val="24"/>
          <w:szCs w:val="24"/>
        </w:rPr>
        <w:t>Warto zaznaczyć, że n</w:t>
      </w:r>
      <w:r w:rsidR="00CF3187" w:rsidRPr="00A2113C">
        <w:rPr>
          <w:rFonts w:asciiTheme="minorHAnsi" w:hAnsiTheme="minorHAnsi" w:cstheme="minorHAnsi"/>
          <w:sz w:val="24"/>
          <w:szCs w:val="24"/>
        </w:rPr>
        <w:t xml:space="preserve">iektóre </w:t>
      </w:r>
      <w:r w:rsidR="00A2113C">
        <w:rPr>
          <w:rFonts w:asciiTheme="minorHAnsi" w:hAnsiTheme="minorHAnsi" w:cstheme="minorHAnsi"/>
          <w:sz w:val="24"/>
          <w:szCs w:val="24"/>
        </w:rPr>
        <w:t xml:space="preserve">firmy </w:t>
      </w:r>
      <w:r w:rsidR="00CF3187" w:rsidRPr="00A2113C">
        <w:rPr>
          <w:rFonts w:asciiTheme="minorHAnsi" w:hAnsiTheme="minorHAnsi" w:cstheme="minorHAnsi"/>
          <w:sz w:val="24"/>
          <w:szCs w:val="24"/>
        </w:rPr>
        <w:t>oferują</w:t>
      </w:r>
      <w:r w:rsidRPr="00A2113C">
        <w:rPr>
          <w:rFonts w:asciiTheme="minorHAnsi" w:hAnsiTheme="minorHAnsi" w:cstheme="minorHAnsi"/>
          <w:sz w:val="24"/>
          <w:szCs w:val="24"/>
        </w:rPr>
        <w:t xml:space="preserve"> leasing</w:t>
      </w:r>
      <w:r w:rsidR="00FF6C16" w:rsidRPr="00A2113C">
        <w:rPr>
          <w:rFonts w:asciiTheme="minorHAnsi" w:hAnsiTheme="minorHAnsi" w:cstheme="minorHAnsi"/>
          <w:sz w:val="24"/>
          <w:szCs w:val="24"/>
        </w:rPr>
        <w:t xml:space="preserve"> online</w:t>
      </w:r>
      <w:r w:rsidRPr="00A2113C">
        <w:rPr>
          <w:rFonts w:asciiTheme="minorHAnsi" w:hAnsiTheme="minorHAnsi" w:cstheme="minorHAnsi"/>
          <w:sz w:val="24"/>
          <w:szCs w:val="24"/>
        </w:rPr>
        <w:t xml:space="preserve"> już od d</w:t>
      </w:r>
      <w:r w:rsidR="00CF3187" w:rsidRPr="00A2113C">
        <w:rPr>
          <w:rFonts w:asciiTheme="minorHAnsi" w:hAnsiTheme="minorHAnsi" w:cstheme="minorHAnsi"/>
          <w:sz w:val="24"/>
          <w:szCs w:val="24"/>
        </w:rPr>
        <w:t>awna. Jedną z nich</w:t>
      </w:r>
      <w:r w:rsidR="00FF6C16" w:rsidRPr="00A2113C">
        <w:rPr>
          <w:rFonts w:asciiTheme="minorHAnsi" w:hAnsiTheme="minorHAnsi" w:cstheme="minorHAnsi"/>
          <w:sz w:val="24"/>
          <w:szCs w:val="24"/>
        </w:rPr>
        <w:t xml:space="preserve"> jest</w:t>
      </w:r>
      <w:r w:rsidR="0008525A" w:rsidRPr="00A2113C">
        <w:rPr>
          <w:rFonts w:asciiTheme="minorHAnsi" w:hAnsiTheme="minorHAnsi" w:cstheme="minorHAnsi"/>
          <w:sz w:val="24"/>
          <w:szCs w:val="24"/>
        </w:rPr>
        <w:t xml:space="preserve"> </w:t>
      </w:r>
      <w:r w:rsidR="00CF3187" w:rsidRPr="00A2113C">
        <w:rPr>
          <w:rFonts w:asciiTheme="minorHAnsi" w:hAnsiTheme="minorHAnsi" w:cstheme="minorHAnsi"/>
          <w:sz w:val="24"/>
          <w:szCs w:val="24"/>
        </w:rPr>
        <w:t>Siemens Financial Services</w:t>
      </w:r>
      <w:r w:rsidR="00DF1A71">
        <w:rPr>
          <w:rFonts w:asciiTheme="minorHAnsi" w:hAnsiTheme="minorHAnsi" w:cstheme="minorHAnsi"/>
          <w:sz w:val="24"/>
          <w:szCs w:val="24"/>
        </w:rPr>
        <w:t xml:space="preserve"> i </w:t>
      </w:r>
      <w:r w:rsidR="00A2113C">
        <w:rPr>
          <w:rFonts w:asciiTheme="minorHAnsi" w:hAnsiTheme="minorHAnsi" w:cstheme="minorHAnsi"/>
          <w:sz w:val="24"/>
          <w:szCs w:val="24"/>
        </w:rPr>
        <w:t>rozwiązanie SimplyLease</w:t>
      </w:r>
      <w:r w:rsidR="00CF3187" w:rsidRPr="00A2113C">
        <w:rPr>
          <w:rFonts w:asciiTheme="minorHAnsi" w:hAnsiTheme="minorHAnsi" w:cstheme="minorHAnsi"/>
          <w:sz w:val="24"/>
          <w:szCs w:val="24"/>
        </w:rPr>
        <w:t xml:space="preserve">. Usługa </w:t>
      </w:r>
      <w:r w:rsidR="00A2113C">
        <w:rPr>
          <w:rFonts w:asciiTheme="minorHAnsi" w:hAnsiTheme="minorHAnsi" w:cstheme="minorHAnsi"/>
          <w:sz w:val="24"/>
          <w:szCs w:val="24"/>
        </w:rPr>
        <w:t xml:space="preserve">została uruchomiona </w:t>
      </w:r>
      <w:r w:rsidRPr="00A2113C">
        <w:rPr>
          <w:rFonts w:asciiTheme="minorHAnsi" w:hAnsiTheme="minorHAnsi" w:cstheme="minorHAnsi"/>
          <w:sz w:val="24"/>
          <w:szCs w:val="24"/>
        </w:rPr>
        <w:t>w 2017 r.</w:t>
      </w:r>
      <w:r w:rsidR="00CF3187" w:rsidRPr="00A2113C">
        <w:rPr>
          <w:rFonts w:asciiTheme="minorHAnsi" w:hAnsiTheme="minorHAnsi" w:cstheme="minorHAnsi"/>
          <w:sz w:val="24"/>
          <w:szCs w:val="24"/>
        </w:rPr>
        <w:t xml:space="preserve"> i po</w:t>
      </w:r>
      <w:r w:rsidR="00593036" w:rsidRPr="00A2113C">
        <w:rPr>
          <w:rFonts w:asciiTheme="minorHAnsi" w:hAnsiTheme="minorHAnsi" w:cstheme="minorHAnsi"/>
          <w:sz w:val="24"/>
          <w:szCs w:val="24"/>
        </w:rPr>
        <w:t>zwala na wzięcie leasingu</w:t>
      </w:r>
      <w:r w:rsidR="00233B94" w:rsidRPr="00A2113C">
        <w:rPr>
          <w:rFonts w:asciiTheme="minorHAnsi" w:hAnsiTheme="minorHAnsi" w:cstheme="minorHAnsi"/>
          <w:sz w:val="24"/>
          <w:szCs w:val="24"/>
        </w:rPr>
        <w:t xml:space="preserve"> w </w:t>
      </w:r>
      <w:r w:rsidR="00CF3187" w:rsidRPr="00A2113C">
        <w:rPr>
          <w:rFonts w:asciiTheme="minorHAnsi" w:hAnsiTheme="minorHAnsi" w:cstheme="minorHAnsi"/>
          <w:sz w:val="24"/>
          <w:szCs w:val="24"/>
        </w:rPr>
        <w:t>sklepach internetowych</w:t>
      </w:r>
      <w:r w:rsidR="00272040" w:rsidRPr="00A2113C">
        <w:rPr>
          <w:rFonts w:asciiTheme="minorHAnsi" w:hAnsiTheme="minorHAnsi" w:cstheme="minorHAnsi"/>
          <w:sz w:val="24"/>
          <w:szCs w:val="24"/>
        </w:rPr>
        <w:t>,</w:t>
      </w:r>
      <w:r w:rsidR="00FF6C16" w:rsidRPr="00A2113C">
        <w:rPr>
          <w:rFonts w:asciiTheme="minorHAnsi" w:hAnsiTheme="minorHAnsi" w:cstheme="minorHAnsi"/>
          <w:sz w:val="24"/>
          <w:szCs w:val="24"/>
        </w:rPr>
        <w:t xml:space="preserve"> bez wychodzenia z domu</w:t>
      </w:r>
      <w:r w:rsidR="00CF3187" w:rsidRPr="00A2113C">
        <w:rPr>
          <w:rFonts w:asciiTheme="minorHAnsi" w:hAnsiTheme="minorHAnsi" w:cstheme="minorHAnsi"/>
          <w:sz w:val="24"/>
          <w:szCs w:val="24"/>
        </w:rPr>
        <w:t>.</w:t>
      </w:r>
      <w:r w:rsidRPr="00A2113C">
        <w:rPr>
          <w:rFonts w:asciiTheme="minorHAnsi" w:hAnsiTheme="minorHAnsi" w:cstheme="minorHAnsi"/>
          <w:sz w:val="24"/>
          <w:szCs w:val="24"/>
        </w:rPr>
        <w:t xml:space="preserve"> Za jej pośrednictwem</w:t>
      </w:r>
      <w:r w:rsidR="00FF6C16" w:rsidRPr="00A2113C">
        <w:rPr>
          <w:rFonts w:asciiTheme="minorHAnsi" w:hAnsiTheme="minorHAnsi" w:cstheme="minorHAnsi"/>
          <w:sz w:val="24"/>
          <w:szCs w:val="24"/>
        </w:rPr>
        <w:t xml:space="preserve"> można</w:t>
      </w:r>
      <w:r w:rsidRPr="00A2113C">
        <w:rPr>
          <w:rFonts w:asciiTheme="minorHAnsi" w:hAnsiTheme="minorHAnsi" w:cstheme="minorHAnsi"/>
          <w:sz w:val="24"/>
          <w:szCs w:val="24"/>
        </w:rPr>
        <w:t xml:space="preserve"> </w:t>
      </w:r>
      <w:r w:rsidR="00A2113C">
        <w:rPr>
          <w:rFonts w:asciiTheme="minorHAnsi" w:hAnsiTheme="minorHAnsi" w:cstheme="minorHAnsi"/>
          <w:sz w:val="24"/>
          <w:szCs w:val="24"/>
        </w:rPr>
        <w:t xml:space="preserve">online uzyskać decyzję kredytową w 15 minut i </w:t>
      </w:r>
      <w:r w:rsidR="00CF3187" w:rsidRPr="00A2113C">
        <w:rPr>
          <w:rFonts w:asciiTheme="minorHAnsi" w:hAnsiTheme="minorHAnsi" w:cstheme="minorHAnsi"/>
          <w:sz w:val="24"/>
          <w:szCs w:val="24"/>
        </w:rPr>
        <w:t>sfinansować sprzęt na</w:t>
      </w:r>
      <w:r w:rsidRPr="00A2113C">
        <w:rPr>
          <w:rFonts w:asciiTheme="minorHAnsi" w:hAnsiTheme="minorHAnsi" w:cstheme="minorHAnsi"/>
          <w:sz w:val="24"/>
          <w:szCs w:val="24"/>
        </w:rPr>
        <w:t xml:space="preserve"> </w:t>
      </w:r>
      <w:r w:rsidR="00FF6C16" w:rsidRPr="00A2113C">
        <w:rPr>
          <w:rFonts w:asciiTheme="minorHAnsi" w:hAnsiTheme="minorHAnsi" w:cstheme="minorHAnsi"/>
          <w:sz w:val="24"/>
          <w:szCs w:val="24"/>
        </w:rPr>
        <w:t xml:space="preserve">kwotę </w:t>
      </w:r>
      <w:r w:rsidR="00A2113C">
        <w:rPr>
          <w:rFonts w:asciiTheme="minorHAnsi" w:hAnsiTheme="minorHAnsi" w:cstheme="minorHAnsi"/>
          <w:sz w:val="24"/>
          <w:szCs w:val="24"/>
        </w:rPr>
        <w:t xml:space="preserve">już </w:t>
      </w:r>
      <w:r w:rsidR="00FF6C16" w:rsidRPr="00A2113C">
        <w:rPr>
          <w:rFonts w:asciiTheme="minorHAnsi" w:hAnsiTheme="minorHAnsi" w:cstheme="minorHAnsi"/>
          <w:sz w:val="24"/>
          <w:szCs w:val="24"/>
        </w:rPr>
        <w:t xml:space="preserve">od 1 tys. zł </w:t>
      </w:r>
      <w:r w:rsidR="003C3E15" w:rsidRPr="00A2113C">
        <w:rPr>
          <w:rFonts w:asciiTheme="minorHAnsi" w:hAnsiTheme="minorHAnsi" w:cstheme="minorHAnsi"/>
          <w:sz w:val="24"/>
          <w:szCs w:val="24"/>
        </w:rPr>
        <w:t>–</w:t>
      </w:r>
      <w:r w:rsidR="00FF6C16" w:rsidRPr="00A2113C">
        <w:rPr>
          <w:rFonts w:asciiTheme="minorHAnsi" w:hAnsiTheme="minorHAnsi" w:cstheme="minorHAnsi"/>
          <w:sz w:val="24"/>
          <w:szCs w:val="24"/>
        </w:rPr>
        <w:t xml:space="preserve"> </w:t>
      </w:r>
      <w:r w:rsidR="003C3E15" w:rsidRPr="00A2113C">
        <w:rPr>
          <w:rFonts w:asciiTheme="minorHAnsi" w:hAnsiTheme="minorHAnsi" w:cstheme="minorHAnsi"/>
          <w:sz w:val="24"/>
          <w:szCs w:val="24"/>
        </w:rPr>
        <w:t xml:space="preserve">mówi </w:t>
      </w:r>
      <w:r w:rsidR="006D7291">
        <w:rPr>
          <w:rFonts w:asciiTheme="minorHAnsi" w:hAnsiTheme="minorHAnsi" w:cstheme="minorHAnsi"/>
          <w:sz w:val="24"/>
          <w:szCs w:val="24"/>
        </w:rPr>
        <w:t>Grzegorz Jarzębski, Szef linii biznesowej Asset Finance w</w:t>
      </w:r>
      <w:r w:rsidR="006D7291" w:rsidRPr="001D13C1">
        <w:rPr>
          <w:rFonts w:asciiTheme="minorHAnsi" w:hAnsiTheme="minorHAnsi" w:cstheme="minorHAnsi"/>
          <w:sz w:val="24"/>
          <w:szCs w:val="24"/>
        </w:rPr>
        <w:t xml:space="preserve"> </w:t>
      </w:r>
      <w:r w:rsidR="003C3E15" w:rsidRPr="00A2113C">
        <w:rPr>
          <w:rFonts w:asciiTheme="minorHAnsi" w:hAnsiTheme="minorHAnsi" w:cstheme="minorHAnsi"/>
          <w:sz w:val="24"/>
          <w:szCs w:val="24"/>
        </w:rPr>
        <w:t>Siemens Financial Services.</w:t>
      </w:r>
    </w:p>
    <w:bookmarkEnd w:id="6"/>
    <w:p w14:paraId="2C2E1774" w14:textId="57837E8B" w:rsidR="007947F7" w:rsidRPr="005F4D9E" w:rsidRDefault="008C0487" w:rsidP="007947F7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Mit czwarty: z</w:t>
      </w:r>
      <w:r w:rsidR="00256F0A">
        <w:rPr>
          <w:rFonts w:asciiTheme="minorHAnsi" w:hAnsiTheme="minorHAnsi" w:cstheme="minorHAnsi"/>
          <w:b/>
          <w:sz w:val="24"/>
          <w:szCs w:val="24"/>
        </w:rPr>
        <w:t xml:space="preserve"> leasingu korzystają</w:t>
      </w:r>
      <w:r w:rsidR="007947F7" w:rsidRPr="005F4D9E">
        <w:rPr>
          <w:rFonts w:asciiTheme="minorHAnsi" w:hAnsiTheme="minorHAnsi" w:cstheme="minorHAnsi"/>
          <w:b/>
          <w:sz w:val="24"/>
          <w:szCs w:val="24"/>
        </w:rPr>
        <w:t xml:space="preserve"> głównie duże firmy</w:t>
      </w:r>
    </w:p>
    <w:p w14:paraId="1D87BE7A" w14:textId="6D4AA4A6" w:rsidR="002D180B" w:rsidRDefault="00F17BEF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Leasing jest często kojarzony z dużymi firmami, w prakty</w:t>
      </w:r>
      <w:r w:rsidR="00763B3B">
        <w:rPr>
          <w:rFonts w:asciiTheme="minorHAnsi" w:hAnsiTheme="minorHAnsi" w:cstheme="minorHAnsi"/>
          <w:sz w:val="24"/>
          <w:szCs w:val="24"/>
        </w:rPr>
        <w:t>ce jest jednak wręcz odwrotnie.</w:t>
      </w:r>
      <w:r w:rsidR="00B73206">
        <w:rPr>
          <w:rFonts w:asciiTheme="minorHAnsi" w:hAnsiTheme="minorHAnsi" w:cstheme="minorHAnsi"/>
          <w:sz w:val="24"/>
          <w:szCs w:val="24"/>
        </w:rPr>
        <w:t xml:space="preserve"> Według</w:t>
      </w:r>
      <w:r w:rsidR="007947F7">
        <w:rPr>
          <w:rFonts w:asciiTheme="minorHAnsi" w:hAnsiTheme="minorHAnsi" w:cstheme="minorHAnsi"/>
          <w:sz w:val="24"/>
          <w:szCs w:val="24"/>
        </w:rPr>
        <w:t xml:space="preserve"> danych Związku Polskiego Leasingu</w:t>
      </w:r>
      <w:r w:rsidR="0012709C">
        <w:rPr>
          <w:rFonts w:asciiTheme="minorHAnsi" w:hAnsiTheme="minorHAnsi" w:cstheme="minorHAnsi"/>
          <w:sz w:val="24"/>
          <w:szCs w:val="24"/>
        </w:rPr>
        <w:t>,</w:t>
      </w:r>
      <w:r w:rsidR="007947F7">
        <w:rPr>
          <w:rFonts w:asciiTheme="minorHAnsi" w:hAnsiTheme="minorHAnsi" w:cstheme="minorHAnsi"/>
          <w:sz w:val="24"/>
          <w:szCs w:val="24"/>
        </w:rPr>
        <w:t xml:space="preserve"> w 2018 r. ponad połow</w:t>
      </w:r>
      <w:r w:rsidR="00204F6F">
        <w:rPr>
          <w:rFonts w:asciiTheme="minorHAnsi" w:hAnsiTheme="minorHAnsi" w:cstheme="minorHAnsi"/>
          <w:sz w:val="24"/>
          <w:szCs w:val="24"/>
        </w:rPr>
        <w:t>ę</w:t>
      </w:r>
      <w:r w:rsidR="007947F7">
        <w:rPr>
          <w:rFonts w:asciiTheme="minorHAnsi" w:hAnsiTheme="minorHAnsi" w:cstheme="minorHAnsi"/>
          <w:sz w:val="24"/>
          <w:szCs w:val="24"/>
        </w:rPr>
        <w:t xml:space="preserve"> (52 proc.) klientów firm leasingowych stanowiły mikro przedsiębiorstwa z obrotami do 5 mln zł rocznie. </w:t>
      </w:r>
      <w:r w:rsidR="00A1119D">
        <w:rPr>
          <w:rFonts w:asciiTheme="minorHAnsi" w:hAnsiTheme="minorHAnsi" w:cstheme="minorHAnsi"/>
          <w:sz w:val="24"/>
          <w:szCs w:val="24"/>
        </w:rPr>
        <w:t xml:space="preserve">W tym czasie </w:t>
      </w:r>
      <w:r w:rsidR="007947F7">
        <w:rPr>
          <w:rFonts w:asciiTheme="minorHAnsi" w:hAnsiTheme="minorHAnsi" w:cstheme="minorHAnsi"/>
          <w:sz w:val="24"/>
          <w:szCs w:val="24"/>
        </w:rPr>
        <w:t xml:space="preserve">26 proc. umów </w:t>
      </w:r>
      <w:r w:rsidR="00E86679">
        <w:rPr>
          <w:rFonts w:asciiTheme="minorHAnsi" w:hAnsiTheme="minorHAnsi" w:cstheme="minorHAnsi"/>
          <w:sz w:val="24"/>
          <w:szCs w:val="24"/>
        </w:rPr>
        <w:t xml:space="preserve">zostało </w:t>
      </w:r>
      <w:r w:rsidR="007947F7">
        <w:rPr>
          <w:rFonts w:asciiTheme="minorHAnsi" w:hAnsiTheme="minorHAnsi" w:cstheme="minorHAnsi"/>
          <w:sz w:val="24"/>
          <w:szCs w:val="24"/>
        </w:rPr>
        <w:t>zaw</w:t>
      </w:r>
      <w:r w:rsidR="00E86679">
        <w:rPr>
          <w:rFonts w:asciiTheme="minorHAnsi" w:hAnsiTheme="minorHAnsi" w:cstheme="minorHAnsi"/>
          <w:sz w:val="24"/>
          <w:szCs w:val="24"/>
        </w:rPr>
        <w:t>art</w:t>
      </w:r>
      <w:r w:rsidR="00A1119D">
        <w:rPr>
          <w:rFonts w:asciiTheme="minorHAnsi" w:hAnsiTheme="minorHAnsi" w:cstheme="minorHAnsi"/>
          <w:sz w:val="24"/>
          <w:szCs w:val="24"/>
        </w:rPr>
        <w:t>ych</w:t>
      </w:r>
      <w:r w:rsidR="007947F7">
        <w:rPr>
          <w:rFonts w:asciiTheme="minorHAnsi" w:hAnsiTheme="minorHAnsi" w:cstheme="minorHAnsi"/>
          <w:sz w:val="24"/>
          <w:szCs w:val="24"/>
        </w:rPr>
        <w:t xml:space="preserve"> z podmiotami średnimi (powyżej 20 mln zł obrotu), a 21 proc.</w:t>
      </w:r>
      <w:r w:rsidR="00EC4F37">
        <w:rPr>
          <w:rFonts w:asciiTheme="minorHAnsi" w:hAnsiTheme="minorHAnsi" w:cstheme="minorHAnsi"/>
          <w:sz w:val="24"/>
          <w:szCs w:val="24"/>
        </w:rPr>
        <w:t xml:space="preserve"> -</w:t>
      </w:r>
      <w:r w:rsidR="007947F7">
        <w:rPr>
          <w:rFonts w:asciiTheme="minorHAnsi" w:hAnsiTheme="minorHAnsi" w:cstheme="minorHAnsi"/>
          <w:sz w:val="24"/>
          <w:szCs w:val="24"/>
        </w:rPr>
        <w:t xml:space="preserve"> z firmami małym (między 5 a 20 mln</w:t>
      </w:r>
      <w:r w:rsidR="0012709C">
        <w:rPr>
          <w:rFonts w:asciiTheme="minorHAnsi" w:hAnsiTheme="minorHAnsi" w:cstheme="minorHAnsi"/>
          <w:sz w:val="24"/>
          <w:szCs w:val="24"/>
        </w:rPr>
        <w:t xml:space="preserve"> obrotu</w:t>
      </w:r>
      <w:r w:rsidR="003A3DB2">
        <w:rPr>
          <w:rFonts w:asciiTheme="minorHAnsi" w:hAnsiTheme="minorHAnsi" w:cstheme="minorHAnsi"/>
          <w:sz w:val="24"/>
          <w:szCs w:val="24"/>
        </w:rPr>
        <w:t>).</w:t>
      </w:r>
      <w:r w:rsidR="00782B93">
        <w:rPr>
          <w:rFonts w:asciiTheme="minorHAnsi" w:hAnsiTheme="minorHAnsi" w:cstheme="minorHAnsi"/>
          <w:sz w:val="24"/>
          <w:szCs w:val="24"/>
        </w:rPr>
        <w:t xml:space="preserve"> </w:t>
      </w:r>
      <w:r w:rsidR="002D180B">
        <w:rPr>
          <w:rFonts w:asciiTheme="minorHAnsi" w:hAnsiTheme="minorHAnsi" w:cstheme="minorHAnsi"/>
          <w:sz w:val="24"/>
          <w:szCs w:val="24"/>
        </w:rPr>
        <w:t>Nato</w:t>
      </w:r>
      <w:r w:rsidR="00B73206">
        <w:rPr>
          <w:rFonts w:asciiTheme="minorHAnsi" w:hAnsiTheme="minorHAnsi" w:cstheme="minorHAnsi"/>
          <w:sz w:val="24"/>
          <w:szCs w:val="24"/>
        </w:rPr>
        <w:t>miast z najnowszego raportu</w:t>
      </w:r>
      <w:r w:rsidR="002D180B">
        <w:rPr>
          <w:rFonts w:asciiTheme="minorHAnsi" w:hAnsiTheme="minorHAnsi" w:cstheme="minorHAnsi"/>
          <w:sz w:val="24"/>
          <w:szCs w:val="24"/>
        </w:rPr>
        <w:t xml:space="preserve"> ZPL z</w:t>
      </w:r>
      <w:r w:rsidR="005F73ED">
        <w:rPr>
          <w:rFonts w:asciiTheme="minorHAnsi" w:hAnsiTheme="minorHAnsi" w:cstheme="minorHAnsi"/>
          <w:sz w:val="24"/>
          <w:szCs w:val="24"/>
        </w:rPr>
        <w:t xml:space="preserve"> czerwca</w:t>
      </w:r>
      <w:r w:rsidR="002D180B">
        <w:rPr>
          <w:rFonts w:asciiTheme="minorHAnsi" w:hAnsiTheme="minorHAnsi" w:cstheme="minorHAnsi"/>
          <w:sz w:val="24"/>
          <w:szCs w:val="24"/>
        </w:rPr>
        <w:t xml:space="preserve"> 2019 r.</w:t>
      </w:r>
      <w:r w:rsidR="00B73206">
        <w:rPr>
          <w:rFonts w:asciiTheme="minorHAnsi" w:hAnsiTheme="minorHAnsi" w:cstheme="minorHAnsi"/>
          <w:sz w:val="24"/>
          <w:szCs w:val="24"/>
        </w:rPr>
        <w:t xml:space="preserve"> wynika</w:t>
      </w:r>
      <w:r w:rsidR="002D180B">
        <w:rPr>
          <w:rFonts w:asciiTheme="minorHAnsi" w:hAnsiTheme="minorHAnsi" w:cstheme="minorHAnsi"/>
          <w:sz w:val="24"/>
          <w:szCs w:val="24"/>
        </w:rPr>
        <w:t>,</w:t>
      </w:r>
      <w:r w:rsidR="00B73206">
        <w:rPr>
          <w:rFonts w:asciiTheme="minorHAnsi" w:hAnsiTheme="minorHAnsi" w:cstheme="minorHAnsi"/>
          <w:sz w:val="24"/>
          <w:szCs w:val="24"/>
        </w:rPr>
        <w:t xml:space="preserve"> że</w:t>
      </w:r>
      <w:r w:rsidR="002D180B">
        <w:rPr>
          <w:rFonts w:asciiTheme="minorHAnsi" w:hAnsiTheme="minorHAnsi" w:cstheme="minorHAnsi"/>
          <w:sz w:val="24"/>
          <w:szCs w:val="24"/>
        </w:rPr>
        <w:t xml:space="preserve"> korzystanie z leasingu lub pożyczki leasingowej deklaruje</w:t>
      </w:r>
      <w:r w:rsidR="00B73206">
        <w:rPr>
          <w:rFonts w:asciiTheme="minorHAnsi" w:hAnsiTheme="minorHAnsi" w:cstheme="minorHAnsi"/>
          <w:sz w:val="24"/>
          <w:szCs w:val="24"/>
        </w:rPr>
        <w:t xml:space="preserve"> w Polsce</w:t>
      </w:r>
      <w:r w:rsidR="002D180B">
        <w:rPr>
          <w:rFonts w:asciiTheme="minorHAnsi" w:hAnsiTheme="minorHAnsi" w:cstheme="minorHAnsi"/>
          <w:sz w:val="24"/>
          <w:szCs w:val="24"/>
        </w:rPr>
        <w:t xml:space="preserve"> 55 proc. średnich i 40 proc. małych</w:t>
      </w:r>
      <w:r w:rsidR="00B73206">
        <w:rPr>
          <w:rFonts w:asciiTheme="minorHAnsi" w:hAnsiTheme="minorHAnsi" w:cstheme="minorHAnsi"/>
          <w:sz w:val="24"/>
          <w:szCs w:val="24"/>
        </w:rPr>
        <w:t xml:space="preserve"> firm</w:t>
      </w:r>
      <w:r w:rsidR="002D180B">
        <w:rPr>
          <w:rFonts w:asciiTheme="minorHAnsi" w:hAnsiTheme="minorHAnsi" w:cstheme="minorHAnsi"/>
          <w:sz w:val="24"/>
          <w:szCs w:val="24"/>
        </w:rPr>
        <w:t>.</w:t>
      </w:r>
    </w:p>
    <w:p w14:paraId="20C8C7F9" w14:textId="154BF104" w:rsidR="001F5EA8" w:rsidRPr="001F5EA8" w:rsidRDefault="0019785F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Mit pią</w:t>
      </w:r>
      <w:r w:rsidR="008C0487">
        <w:rPr>
          <w:rFonts w:asciiTheme="minorHAnsi" w:hAnsiTheme="minorHAnsi" w:cstheme="minorHAnsi"/>
          <w:b/>
          <w:sz w:val="24"/>
          <w:szCs w:val="24"/>
        </w:rPr>
        <w:t>ty: l</w:t>
      </w:r>
      <w:r w:rsidR="001F5EA8" w:rsidRPr="001F5EA8">
        <w:rPr>
          <w:rFonts w:asciiTheme="minorHAnsi" w:hAnsiTheme="minorHAnsi" w:cstheme="minorHAnsi"/>
          <w:b/>
          <w:sz w:val="24"/>
          <w:szCs w:val="24"/>
        </w:rPr>
        <w:t>easing to skomplikowana procedura</w:t>
      </w:r>
    </w:p>
    <w:p w14:paraId="133372EA" w14:textId="3CFC544E" w:rsidR="00613FCB" w:rsidRDefault="00613FC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Prostota i szybki proces przyznania leasingu jest jedną z jego największych zalet. Aby uzyskać finansowanie</w:t>
      </w:r>
      <w:r w:rsidR="004234E0">
        <w:rPr>
          <w:rFonts w:asciiTheme="minorHAnsi" w:hAnsiTheme="minorHAnsi" w:cstheme="minorHAnsi"/>
          <w:sz w:val="24"/>
          <w:szCs w:val="24"/>
        </w:rPr>
        <w:t xml:space="preserve"> przedsiębiorca zazwyczaj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D1AFD">
        <w:rPr>
          <w:rFonts w:asciiTheme="minorHAnsi" w:hAnsiTheme="minorHAnsi" w:cstheme="minorHAnsi"/>
          <w:sz w:val="24"/>
          <w:szCs w:val="24"/>
        </w:rPr>
        <w:t>musi</w:t>
      </w:r>
      <w:r>
        <w:rPr>
          <w:rFonts w:asciiTheme="minorHAnsi" w:hAnsiTheme="minorHAnsi" w:cstheme="minorHAnsi"/>
          <w:sz w:val="24"/>
          <w:szCs w:val="24"/>
        </w:rPr>
        <w:t xml:space="preserve"> wypełnić wniosek, dostarczyć kserokopię dokumentu tożsamości</w:t>
      </w:r>
      <w:r w:rsidR="004234E0">
        <w:rPr>
          <w:rFonts w:asciiTheme="minorHAnsi" w:hAnsiTheme="minorHAnsi" w:cstheme="minorHAnsi"/>
          <w:sz w:val="24"/>
          <w:szCs w:val="24"/>
        </w:rPr>
        <w:t xml:space="preserve"> oraz wypis</w:t>
      </w:r>
      <w:r w:rsidR="003D1AFD">
        <w:rPr>
          <w:rFonts w:asciiTheme="minorHAnsi" w:hAnsiTheme="minorHAnsi" w:cstheme="minorHAnsi"/>
          <w:sz w:val="24"/>
          <w:szCs w:val="24"/>
        </w:rPr>
        <w:t xml:space="preserve"> z KRS</w:t>
      </w:r>
      <w:r w:rsidR="004234E0">
        <w:rPr>
          <w:rFonts w:asciiTheme="minorHAnsi" w:hAnsiTheme="minorHAnsi" w:cstheme="minorHAnsi"/>
          <w:sz w:val="24"/>
          <w:szCs w:val="24"/>
        </w:rPr>
        <w:t xml:space="preserve"> lub CEiDG. Natomiast decyzja o przyznaniu leasingu może być wydana nawet w kwadrans. Proces jest zdecydowanie krótszy i prostszy niż np. w przypadku kredytu bankowego, gdzie sam</w:t>
      </w:r>
      <w:r w:rsidR="00117223">
        <w:rPr>
          <w:rFonts w:asciiTheme="minorHAnsi" w:hAnsiTheme="minorHAnsi" w:cstheme="minorHAnsi"/>
          <w:sz w:val="24"/>
          <w:szCs w:val="24"/>
        </w:rPr>
        <w:t>o</w:t>
      </w:r>
      <w:r w:rsidR="004234E0">
        <w:rPr>
          <w:rFonts w:asciiTheme="minorHAnsi" w:hAnsiTheme="minorHAnsi" w:cstheme="minorHAnsi"/>
          <w:sz w:val="24"/>
          <w:szCs w:val="24"/>
        </w:rPr>
        <w:t xml:space="preserve"> </w:t>
      </w:r>
      <w:r w:rsidR="00117223">
        <w:rPr>
          <w:rFonts w:asciiTheme="minorHAnsi" w:hAnsiTheme="minorHAnsi" w:cstheme="minorHAnsi"/>
          <w:sz w:val="24"/>
          <w:szCs w:val="24"/>
        </w:rPr>
        <w:t xml:space="preserve">podjęcie </w:t>
      </w:r>
      <w:r w:rsidR="004234E0">
        <w:rPr>
          <w:rFonts w:asciiTheme="minorHAnsi" w:hAnsiTheme="minorHAnsi" w:cstheme="minorHAnsi"/>
          <w:sz w:val="24"/>
          <w:szCs w:val="24"/>
        </w:rPr>
        <w:t>decyzj</w:t>
      </w:r>
      <w:r w:rsidR="00117223">
        <w:rPr>
          <w:rFonts w:asciiTheme="minorHAnsi" w:hAnsiTheme="minorHAnsi" w:cstheme="minorHAnsi"/>
          <w:sz w:val="24"/>
          <w:szCs w:val="24"/>
        </w:rPr>
        <w:t>i</w:t>
      </w:r>
      <w:r w:rsidR="004234E0">
        <w:rPr>
          <w:rFonts w:asciiTheme="minorHAnsi" w:hAnsiTheme="minorHAnsi" w:cstheme="minorHAnsi"/>
          <w:sz w:val="24"/>
          <w:szCs w:val="24"/>
        </w:rPr>
        <w:t xml:space="preserve"> może potrwać nawet parę tygodni. </w:t>
      </w:r>
    </w:p>
    <w:p w14:paraId="417BBFF6" w14:textId="1C95E605" w:rsidR="00BA36F5" w:rsidRDefault="0069619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1B0626">
        <w:rPr>
          <w:rFonts w:asciiTheme="minorHAnsi" w:hAnsiTheme="minorHAnsi" w:cstheme="minorHAnsi"/>
          <w:sz w:val="24"/>
          <w:szCs w:val="24"/>
        </w:rPr>
        <w:t xml:space="preserve"> Czas jest bardzo ważny dla przedsiębiorstw</w:t>
      </w:r>
      <w:r>
        <w:rPr>
          <w:rFonts w:asciiTheme="minorHAnsi" w:hAnsiTheme="minorHAnsi" w:cstheme="minorHAnsi"/>
          <w:sz w:val="24"/>
          <w:szCs w:val="24"/>
        </w:rPr>
        <w:t>, zwłaszcza w bran</w:t>
      </w:r>
      <w:r w:rsidR="00B9181C">
        <w:rPr>
          <w:rFonts w:asciiTheme="minorHAnsi" w:hAnsiTheme="minorHAnsi" w:cstheme="minorHAnsi"/>
          <w:sz w:val="24"/>
          <w:szCs w:val="24"/>
        </w:rPr>
        <w:t>ży przemysłowej oraz dla firm z </w:t>
      </w:r>
      <w:r>
        <w:rPr>
          <w:rFonts w:asciiTheme="minorHAnsi" w:hAnsiTheme="minorHAnsi" w:cstheme="minorHAnsi"/>
          <w:sz w:val="24"/>
          <w:szCs w:val="24"/>
        </w:rPr>
        <w:t xml:space="preserve">sektora </w:t>
      </w:r>
      <w:r w:rsidR="005369D0">
        <w:rPr>
          <w:rFonts w:asciiTheme="minorHAnsi" w:hAnsiTheme="minorHAnsi" w:cstheme="minorHAnsi"/>
          <w:sz w:val="24"/>
          <w:szCs w:val="24"/>
        </w:rPr>
        <w:t>MŚP. I</w:t>
      </w:r>
      <w:r>
        <w:rPr>
          <w:rFonts w:asciiTheme="minorHAnsi" w:hAnsiTheme="minorHAnsi" w:cstheme="minorHAnsi"/>
          <w:sz w:val="24"/>
          <w:szCs w:val="24"/>
        </w:rPr>
        <w:t>nwestycje w nowe maszyny i urządzenia to gwarancja zachowania konkurencyjnoś</w:t>
      </w:r>
      <w:r w:rsidR="00782B93">
        <w:rPr>
          <w:rFonts w:asciiTheme="minorHAnsi" w:hAnsiTheme="minorHAnsi" w:cstheme="minorHAnsi"/>
          <w:sz w:val="24"/>
          <w:szCs w:val="24"/>
        </w:rPr>
        <w:t>ci</w:t>
      </w:r>
      <w:r>
        <w:rPr>
          <w:rFonts w:asciiTheme="minorHAnsi" w:hAnsiTheme="minorHAnsi" w:cstheme="minorHAnsi"/>
          <w:sz w:val="24"/>
          <w:szCs w:val="24"/>
        </w:rPr>
        <w:t xml:space="preserve">, natomiast w przypadku awarii sprzętu, każda godzina to </w:t>
      </w:r>
      <w:r w:rsidR="00866758">
        <w:rPr>
          <w:rFonts w:asciiTheme="minorHAnsi" w:hAnsiTheme="minorHAnsi" w:cstheme="minorHAnsi"/>
          <w:sz w:val="24"/>
          <w:szCs w:val="24"/>
        </w:rPr>
        <w:t xml:space="preserve">często </w:t>
      </w:r>
      <w:r>
        <w:rPr>
          <w:rFonts w:asciiTheme="minorHAnsi" w:hAnsiTheme="minorHAnsi" w:cstheme="minorHAnsi"/>
          <w:sz w:val="24"/>
          <w:szCs w:val="24"/>
        </w:rPr>
        <w:t>strata finansowa i przestój</w:t>
      </w:r>
      <w:r w:rsidR="008C2BF7">
        <w:rPr>
          <w:rFonts w:asciiTheme="minorHAnsi" w:hAnsiTheme="minorHAnsi" w:cstheme="minorHAnsi"/>
          <w:sz w:val="24"/>
          <w:szCs w:val="24"/>
        </w:rPr>
        <w:t xml:space="preserve"> w </w:t>
      </w:r>
      <w:r w:rsidR="001B0626">
        <w:rPr>
          <w:rFonts w:asciiTheme="minorHAnsi" w:hAnsiTheme="minorHAnsi" w:cstheme="minorHAnsi"/>
          <w:sz w:val="24"/>
          <w:szCs w:val="24"/>
        </w:rPr>
        <w:t>produkcji oraz</w:t>
      </w:r>
      <w:r w:rsidR="00BB3511">
        <w:rPr>
          <w:rFonts w:asciiTheme="minorHAnsi" w:hAnsiTheme="minorHAnsi" w:cstheme="minorHAnsi"/>
          <w:sz w:val="24"/>
          <w:szCs w:val="24"/>
        </w:rPr>
        <w:t xml:space="preserve"> problemy</w:t>
      </w:r>
      <w:r>
        <w:rPr>
          <w:rFonts w:asciiTheme="minorHAnsi" w:hAnsiTheme="minorHAnsi" w:cstheme="minorHAnsi"/>
          <w:sz w:val="24"/>
          <w:szCs w:val="24"/>
        </w:rPr>
        <w:t xml:space="preserve"> w dostawach</w:t>
      </w:r>
      <w:r w:rsidR="00BB3511">
        <w:rPr>
          <w:rFonts w:asciiTheme="minorHAnsi" w:hAnsiTheme="minorHAnsi" w:cstheme="minorHAnsi"/>
          <w:sz w:val="24"/>
          <w:szCs w:val="24"/>
        </w:rPr>
        <w:t xml:space="preserve"> do klientów</w:t>
      </w:r>
      <w:r>
        <w:rPr>
          <w:rFonts w:asciiTheme="minorHAnsi" w:hAnsiTheme="minorHAnsi" w:cstheme="minorHAnsi"/>
          <w:sz w:val="24"/>
          <w:szCs w:val="24"/>
        </w:rPr>
        <w:t xml:space="preserve">. Dlatego </w:t>
      </w:r>
      <w:r w:rsidR="005369D0">
        <w:rPr>
          <w:rFonts w:asciiTheme="minorHAnsi" w:hAnsiTheme="minorHAnsi" w:cstheme="minorHAnsi"/>
          <w:sz w:val="24"/>
          <w:szCs w:val="24"/>
        </w:rPr>
        <w:t xml:space="preserve">zdobycie </w:t>
      </w:r>
      <w:r w:rsidR="00782B93">
        <w:rPr>
          <w:rFonts w:asciiTheme="minorHAnsi" w:hAnsiTheme="minorHAnsi" w:cstheme="minorHAnsi"/>
          <w:sz w:val="24"/>
          <w:szCs w:val="24"/>
        </w:rPr>
        <w:t xml:space="preserve">finansowania </w:t>
      </w:r>
      <w:r w:rsidR="005369D0">
        <w:rPr>
          <w:rFonts w:asciiTheme="minorHAnsi" w:hAnsiTheme="minorHAnsi" w:cstheme="minorHAnsi"/>
          <w:sz w:val="24"/>
          <w:szCs w:val="24"/>
        </w:rPr>
        <w:t>w szybki i</w:t>
      </w:r>
      <w:r w:rsidR="008C2BF7">
        <w:rPr>
          <w:rFonts w:asciiTheme="minorHAnsi" w:hAnsiTheme="minorHAnsi" w:cstheme="minorHAnsi"/>
          <w:sz w:val="24"/>
          <w:szCs w:val="24"/>
        </w:rPr>
        <w:t> </w:t>
      </w:r>
      <w:r w:rsidR="00CC0955">
        <w:rPr>
          <w:rFonts w:asciiTheme="minorHAnsi" w:hAnsiTheme="minorHAnsi" w:cstheme="minorHAnsi"/>
          <w:sz w:val="24"/>
          <w:szCs w:val="24"/>
        </w:rPr>
        <w:t xml:space="preserve">prosty sposób </w:t>
      </w:r>
      <w:r w:rsidR="005369D0">
        <w:rPr>
          <w:rFonts w:asciiTheme="minorHAnsi" w:hAnsiTheme="minorHAnsi" w:cstheme="minorHAnsi"/>
          <w:sz w:val="24"/>
          <w:szCs w:val="24"/>
        </w:rPr>
        <w:t>jest niezwykle ważne oraz atrakcyjne z punktu widzenia przedsiębiorców</w:t>
      </w:r>
      <w:r w:rsidR="001B0626">
        <w:rPr>
          <w:rFonts w:asciiTheme="minorHAnsi" w:hAnsiTheme="minorHAnsi" w:cstheme="minorHAnsi"/>
          <w:sz w:val="24"/>
          <w:szCs w:val="24"/>
        </w:rPr>
        <w:t xml:space="preserve"> </w:t>
      </w:r>
      <w:r w:rsidR="00201038" w:rsidRPr="00A2113C">
        <w:rPr>
          <w:rFonts w:asciiTheme="minorHAnsi" w:hAnsiTheme="minorHAnsi" w:cstheme="minorHAnsi"/>
          <w:sz w:val="24"/>
          <w:szCs w:val="24"/>
        </w:rPr>
        <w:t>–</w:t>
      </w:r>
      <w:r w:rsidR="00BA36F5">
        <w:rPr>
          <w:rFonts w:asciiTheme="minorHAnsi" w:hAnsiTheme="minorHAnsi" w:cstheme="minorHAnsi"/>
          <w:sz w:val="24"/>
          <w:szCs w:val="24"/>
        </w:rPr>
        <w:t xml:space="preserve"> mówi </w:t>
      </w:r>
      <w:r w:rsidR="006D7291">
        <w:rPr>
          <w:rFonts w:asciiTheme="minorHAnsi" w:hAnsiTheme="minorHAnsi" w:cstheme="minorHAnsi"/>
          <w:sz w:val="24"/>
          <w:szCs w:val="24"/>
        </w:rPr>
        <w:t>Grzegorz Jarzębski, Szef linii biznesowej Asset Finance w</w:t>
      </w:r>
      <w:r w:rsidR="00BA36F5">
        <w:rPr>
          <w:rFonts w:asciiTheme="minorHAnsi" w:hAnsiTheme="minorHAnsi" w:cstheme="minorHAnsi"/>
          <w:sz w:val="24"/>
          <w:szCs w:val="24"/>
        </w:rPr>
        <w:t xml:space="preserve"> Siemens Financial Services.</w:t>
      </w:r>
    </w:p>
    <w:p w14:paraId="2C0DBA42" w14:textId="43B86A0B" w:rsidR="0034557A" w:rsidRDefault="008C048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Mit szósty: l</w:t>
      </w:r>
      <w:r w:rsidR="0034557A">
        <w:rPr>
          <w:rFonts w:asciiTheme="minorHAnsi" w:hAnsiTheme="minorHAnsi" w:cstheme="minorHAnsi"/>
          <w:b/>
          <w:sz w:val="24"/>
          <w:szCs w:val="24"/>
        </w:rPr>
        <w:t xml:space="preserve">easing </w:t>
      </w:r>
      <w:r w:rsidR="001A184D">
        <w:rPr>
          <w:rFonts w:asciiTheme="minorHAnsi" w:hAnsiTheme="minorHAnsi" w:cstheme="minorHAnsi"/>
          <w:b/>
          <w:sz w:val="24"/>
          <w:szCs w:val="24"/>
        </w:rPr>
        <w:t>jest droższy od kredytu</w:t>
      </w:r>
    </w:p>
    <w:p w14:paraId="569E5AFB" w14:textId="6647996A" w:rsidR="00E11912" w:rsidRDefault="00E119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całkowity koszt leasingu wpływa wiele czynników</w:t>
      </w:r>
      <w:r w:rsidR="00F37D3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m.in. wkład własny, liczba rat czy kwota wykup</w:t>
      </w:r>
      <w:r w:rsidR="008F0756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 xml:space="preserve">. Warto również zaznaczyć, że ta forma pozyskania finasowania ma dodatkowe korzyści, których nie ma np. </w:t>
      </w:r>
      <w:r w:rsidR="003D1AFD">
        <w:rPr>
          <w:rFonts w:asciiTheme="minorHAnsi" w:hAnsiTheme="minorHAnsi" w:cstheme="minorHAnsi"/>
          <w:sz w:val="24"/>
          <w:szCs w:val="24"/>
        </w:rPr>
        <w:t>kredyt inwestycyjny. W przypadku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37D37">
        <w:rPr>
          <w:rFonts w:asciiTheme="minorHAnsi" w:hAnsiTheme="minorHAnsi" w:cstheme="minorHAnsi"/>
          <w:sz w:val="24"/>
          <w:szCs w:val="24"/>
        </w:rPr>
        <w:t>leasing</w:t>
      </w:r>
      <w:r w:rsidR="003D1AFD">
        <w:rPr>
          <w:rFonts w:asciiTheme="minorHAnsi" w:hAnsiTheme="minorHAnsi" w:cstheme="minorHAnsi"/>
          <w:sz w:val="24"/>
          <w:szCs w:val="24"/>
        </w:rPr>
        <w:t>u</w:t>
      </w:r>
      <w:r w:rsidR="00F37D37">
        <w:rPr>
          <w:rFonts w:asciiTheme="minorHAnsi" w:hAnsiTheme="minorHAnsi" w:cstheme="minorHAnsi"/>
          <w:sz w:val="24"/>
          <w:szCs w:val="24"/>
        </w:rPr>
        <w:t xml:space="preserve"> </w:t>
      </w:r>
      <w:r w:rsidR="003D1AFD">
        <w:rPr>
          <w:rFonts w:asciiTheme="minorHAnsi" w:hAnsiTheme="minorHAnsi" w:cstheme="minorHAnsi"/>
          <w:sz w:val="24"/>
          <w:szCs w:val="24"/>
        </w:rPr>
        <w:t>operacyjnego jest to możliwość wliczenia całej raty</w:t>
      </w:r>
      <w:r w:rsidR="00F37D37">
        <w:rPr>
          <w:rFonts w:asciiTheme="minorHAnsi" w:hAnsiTheme="minorHAnsi" w:cstheme="minorHAnsi"/>
          <w:sz w:val="24"/>
          <w:szCs w:val="24"/>
        </w:rPr>
        <w:t xml:space="preserve"> w koszty prowadzonej działalności</w:t>
      </w:r>
      <w:r w:rsidR="008F0756">
        <w:rPr>
          <w:rFonts w:asciiTheme="minorHAnsi" w:hAnsiTheme="minorHAnsi" w:cstheme="minorHAnsi"/>
          <w:sz w:val="24"/>
          <w:szCs w:val="24"/>
        </w:rPr>
        <w:t xml:space="preserve"> – to bardzo istotnie obniża koszty pozyskania sprzętu</w:t>
      </w:r>
      <w:r w:rsidR="00F37D37">
        <w:rPr>
          <w:rFonts w:asciiTheme="minorHAnsi" w:hAnsiTheme="minorHAnsi" w:cstheme="minorHAnsi"/>
          <w:sz w:val="24"/>
          <w:szCs w:val="24"/>
        </w:rPr>
        <w:t>. Dodatkowo, proces</w:t>
      </w:r>
      <w:r w:rsidR="003D75BD">
        <w:rPr>
          <w:rFonts w:asciiTheme="minorHAnsi" w:hAnsiTheme="minorHAnsi" w:cstheme="minorHAnsi"/>
          <w:sz w:val="24"/>
          <w:szCs w:val="24"/>
        </w:rPr>
        <w:t xml:space="preserve"> jego</w:t>
      </w:r>
      <w:r w:rsidR="00F37D37">
        <w:rPr>
          <w:rFonts w:asciiTheme="minorHAnsi" w:hAnsiTheme="minorHAnsi" w:cstheme="minorHAnsi"/>
          <w:sz w:val="24"/>
          <w:szCs w:val="24"/>
        </w:rPr>
        <w:t xml:space="preserve"> uzyskani</w:t>
      </w:r>
      <w:r w:rsidR="003D75BD">
        <w:rPr>
          <w:rFonts w:asciiTheme="minorHAnsi" w:hAnsiTheme="minorHAnsi" w:cstheme="minorHAnsi"/>
          <w:sz w:val="24"/>
          <w:szCs w:val="24"/>
        </w:rPr>
        <w:t>a</w:t>
      </w:r>
      <w:r w:rsidR="00763B3B">
        <w:rPr>
          <w:rFonts w:asciiTheme="minorHAnsi" w:hAnsiTheme="minorHAnsi" w:cstheme="minorHAnsi"/>
          <w:sz w:val="24"/>
          <w:szCs w:val="24"/>
        </w:rPr>
        <w:t xml:space="preserve"> jest o </w:t>
      </w:r>
      <w:r w:rsidR="00F37D37">
        <w:rPr>
          <w:rFonts w:asciiTheme="minorHAnsi" w:hAnsiTheme="minorHAnsi" w:cstheme="minorHAnsi"/>
          <w:sz w:val="24"/>
          <w:szCs w:val="24"/>
        </w:rPr>
        <w:t>wiele szybszy</w:t>
      </w:r>
      <w:r w:rsidR="00763B3B">
        <w:rPr>
          <w:rFonts w:asciiTheme="minorHAnsi" w:hAnsiTheme="minorHAnsi" w:cstheme="minorHAnsi"/>
          <w:sz w:val="24"/>
          <w:szCs w:val="24"/>
        </w:rPr>
        <w:t xml:space="preserve"> i prostszy</w:t>
      </w:r>
      <w:r w:rsidR="00F37D37">
        <w:rPr>
          <w:rFonts w:asciiTheme="minorHAnsi" w:hAnsiTheme="minorHAnsi" w:cstheme="minorHAnsi"/>
          <w:sz w:val="24"/>
          <w:szCs w:val="24"/>
        </w:rPr>
        <w:t>. Dlatego na</w:t>
      </w:r>
      <w:r w:rsidR="009B29E8">
        <w:rPr>
          <w:rFonts w:asciiTheme="minorHAnsi" w:hAnsiTheme="minorHAnsi" w:cstheme="minorHAnsi"/>
          <w:sz w:val="24"/>
          <w:szCs w:val="24"/>
        </w:rPr>
        <w:t>leży pamiętać</w:t>
      </w:r>
      <w:r w:rsidR="00F37D37">
        <w:rPr>
          <w:rFonts w:asciiTheme="minorHAnsi" w:hAnsiTheme="minorHAnsi" w:cstheme="minorHAnsi"/>
          <w:sz w:val="24"/>
          <w:szCs w:val="24"/>
        </w:rPr>
        <w:t>, że leasing i kredyt nie są konkurencyjnymi produktami. Przedsiębiorca, który waha się nad wyborem jednej z opcji powinien zwrócić uwagę na więcej aspektów niż tylko koszt całkowity.</w:t>
      </w:r>
      <w:r w:rsidR="008F0756">
        <w:rPr>
          <w:rFonts w:asciiTheme="minorHAnsi" w:hAnsiTheme="minorHAnsi" w:cstheme="minorHAnsi"/>
          <w:sz w:val="24"/>
          <w:szCs w:val="24"/>
        </w:rPr>
        <w:t xml:space="preserve"> Nie bez znaczenia pozostaje też fakt, że nie każdy przedsiębiorca może w danym momencie uzyskać kredyt, a to może generować realne straty. Leasing niweluje to zagrożenie. </w:t>
      </w:r>
    </w:p>
    <w:p w14:paraId="6AD39A21" w14:textId="77777777" w:rsidR="009401BC" w:rsidRPr="001D13C1" w:rsidRDefault="009401B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B6C88C0" w14:textId="77777777" w:rsidR="00131B54" w:rsidRPr="001D13C1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13C1">
        <w:rPr>
          <w:rFonts w:asciiTheme="minorHAnsi" w:hAnsiTheme="minorHAnsi" w:cstheme="minorHAnsi"/>
          <w:b/>
          <w:sz w:val="24"/>
          <w:szCs w:val="24"/>
        </w:rPr>
        <w:t>Kontakt dla mediów:</w:t>
      </w:r>
    </w:p>
    <w:p w14:paraId="5DC6EE69" w14:textId="77777777" w:rsidR="00131B54" w:rsidRPr="001D13C1" w:rsidRDefault="00131B54" w:rsidP="00131B5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3C1">
        <w:rPr>
          <w:rFonts w:asciiTheme="minorHAnsi" w:hAnsiTheme="minorHAnsi" w:cstheme="minorHAnsi"/>
          <w:sz w:val="24"/>
          <w:szCs w:val="24"/>
        </w:rPr>
        <w:t>Radosław Pupiec</w:t>
      </w:r>
    </w:p>
    <w:p w14:paraId="33B528FB" w14:textId="43C7D8A9" w:rsidR="00131B54" w:rsidRPr="001D13C1" w:rsidRDefault="008069D3" w:rsidP="00131B5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Starszy </w:t>
      </w:r>
      <w:r w:rsidR="00131B54" w:rsidRPr="001D13C1">
        <w:rPr>
          <w:rFonts w:asciiTheme="minorHAnsi" w:hAnsiTheme="minorHAnsi" w:cstheme="minorHAnsi"/>
          <w:sz w:val="24"/>
          <w:szCs w:val="24"/>
        </w:rPr>
        <w:t>Konsultant, Clear Communication Group</w:t>
      </w:r>
    </w:p>
    <w:p w14:paraId="47F2022B" w14:textId="77777777" w:rsidR="00131B54" w:rsidRPr="001D13C1" w:rsidRDefault="00131B54" w:rsidP="00131B5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3C1">
        <w:rPr>
          <w:rFonts w:asciiTheme="minorHAnsi" w:hAnsiTheme="minorHAnsi" w:cstheme="minorHAnsi"/>
          <w:sz w:val="24"/>
          <w:szCs w:val="24"/>
        </w:rPr>
        <w:t>radoslaw.pupiec@clearcom.pl</w:t>
      </w:r>
    </w:p>
    <w:p w14:paraId="2A4A156C" w14:textId="77777777" w:rsidR="00131B54" w:rsidRPr="001D13C1" w:rsidRDefault="00131B54" w:rsidP="00131B5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3C1">
        <w:rPr>
          <w:rFonts w:asciiTheme="minorHAnsi" w:hAnsiTheme="minorHAnsi" w:cstheme="minorHAnsi"/>
          <w:sz w:val="24"/>
          <w:szCs w:val="24"/>
        </w:rPr>
        <w:t>517 595 218</w:t>
      </w:r>
    </w:p>
    <w:p w14:paraId="772495FD" w14:textId="77777777" w:rsidR="00131B54" w:rsidRPr="001D13C1" w:rsidRDefault="00131B54" w:rsidP="00131B5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519B0F3C" w14:textId="77777777" w:rsidR="00131B54" w:rsidRPr="001D13C1" w:rsidRDefault="00131B54" w:rsidP="00131B5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3C1">
        <w:rPr>
          <w:rFonts w:asciiTheme="minorHAnsi" w:hAnsiTheme="minorHAnsi" w:cstheme="minorHAnsi"/>
          <w:sz w:val="24"/>
          <w:szCs w:val="24"/>
        </w:rPr>
        <w:t>***</w:t>
      </w:r>
    </w:p>
    <w:p w14:paraId="44A4423E" w14:textId="77777777" w:rsidR="00131B54" w:rsidRPr="001D13C1" w:rsidRDefault="00131B54" w:rsidP="00131B5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3C1">
        <w:rPr>
          <w:rFonts w:asciiTheme="minorHAnsi" w:hAnsiTheme="minorHAnsi" w:cstheme="minorHAnsi"/>
          <w:b/>
          <w:sz w:val="24"/>
          <w:szCs w:val="24"/>
        </w:rPr>
        <w:t>Siemens Financial Services</w:t>
      </w:r>
      <w:r w:rsidRPr="001D13C1">
        <w:rPr>
          <w:rFonts w:asciiTheme="minorHAnsi" w:hAnsiTheme="minorHAnsi" w:cstheme="minorHAnsi"/>
          <w:sz w:val="24"/>
          <w:szCs w:val="24"/>
        </w:rPr>
        <w:t xml:space="preserve"> to firma z grupy Siemens, wyspecjalizowana w produktach i usługach finansowych skierowanych do firm operujących w najważniejszych obszarach gospodarki – m.in. sektorach: przemysłowym, budowlanym, energetycznym, ochrony zdrowia. Dzięki wieloletniemu, międzynarodowemu doświadczeniu oraz wiedzy z obszarów, w których operują klienci firmy, Siemens Financial Services dostarcza produkty dopasowane do indywidualnych potrzeb przedsiębiorstw. Oferta firmy obejmuje m.in. finansowanie sprzętu i nowoczesnych technologii, które wspierają firmy na każdym etapie ich rozwoju.</w:t>
      </w:r>
    </w:p>
    <w:p w14:paraId="76D60436" w14:textId="5C22B287" w:rsidR="00131B54" w:rsidRPr="001D13C1" w:rsidRDefault="00131B5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3C1">
        <w:rPr>
          <w:rFonts w:asciiTheme="minorHAnsi" w:hAnsiTheme="minorHAnsi" w:cstheme="minorHAnsi"/>
          <w:b/>
          <w:sz w:val="24"/>
          <w:szCs w:val="24"/>
        </w:rPr>
        <w:t>Siemens AG</w:t>
      </w:r>
      <w:r w:rsidRPr="001D13C1">
        <w:rPr>
          <w:rFonts w:asciiTheme="minorHAnsi" w:hAnsiTheme="minorHAnsi" w:cstheme="minorHAnsi"/>
          <w:sz w:val="24"/>
          <w:szCs w:val="24"/>
        </w:rPr>
        <w:t xml:space="preserve"> – lider technologiczny będący globalnym symbolem doskonałości technologicznej, innowacyjności, jakości i niezawodności od 170 lat. Firma jest obecna w ponad 200 krajach, koncentrując się na działaniach z obszaru elektryfikacji, automatyzacj</w:t>
      </w:r>
      <w:r w:rsidR="009441A5">
        <w:rPr>
          <w:rFonts w:asciiTheme="minorHAnsi" w:hAnsiTheme="minorHAnsi" w:cstheme="minorHAnsi"/>
          <w:sz w:val="24"/>
          <w:szCs w:val="24"/>
        </w:rPr>
        <w:t>i i digitalizacji. Jako jeden z </w:t>
      </w:r>
      <w:r w:rsidRPr="001D13C1">
        <w:rPr>
          <w:rFonts w:asciiTheme="minorHAnsi" w:hAnsiTheme="minorHAnsi" w:cstheme="minorHAnsi"/>
          <w:sz w:val="24"/>
          <w:szCs w:val="24"/>
        </w:rPr>
        <w:t>największych na świecie producentów efektywnych energetycznie i oszczędzających surowce technologii, Siemens jest wiodącym producentem optymalnych technologii wytwarzania energii, jak również rozwiązań technologicznych w dziedzinie przesyłu en</w:t>
      </w:r>
      <w:r w:rsidR="009441A5">
        <w:rPr>
          <w:rFonts w:asciiTheme="minorHAnsi" w:hAnsiTheme="minorHAnsi" w:cstheme="minorHAnsi"/>
          <w:sz w:val="24"/>
          <w:szCs w:val="24"/>
        </w:rPr>
        <w:t>ergii elektrycznej, pionierem w </w:t>
      </w:r>
      <w:r w:rsidRPr="001D13C1">
        <w:rPr>
          <w:rFonts w:asciiTheme="minorHAnsi" w:hAnsiTheme="minorHAnsi" w:cstheme="minorHAnsi"/>
          <w:sz w:val="24"/>
          <w:szCs w:val="24"/>
        </w:rPr>
        <w:t xml:space="preserve">rozwiązaniach infrastrukturalnych oraz automatyce i oprogramowaniu dla przemysłu. Spółka jest także liderem w dziedzinie urządzeń do obrazowania medycznego, diagnostyki laboratoryjnej oraz medycznego IT. W roku finansowym 2018 przychód wyniósł 91,2 miliarda euro, a zysk netto 6,1 miliarda. Firma zatrudnia około 379 tysięcy pracowników na całym świecie. Więcej informacji można znaleźć na stronie: </w:t>
      </w:r>
      <w:hyperlink r:id="rId8" w:history="1">
        <w:r w:rsidRPr="001D13C1">
          <w:rPr>
            <w:rFonts w:asciiTheme="minorHAnsi" w:hAnsiTheme="minorHAnsi" w:cstheme="minorHAnsi"/>
            <w:sz w:val="24"/>
            <w:szCs w:val="24"/>
          </w:rPr>
          <w:t>http://www.siemens.com</w:t>
        </w:r>
      </w:hyperlink>
      <w:r w:rsidRPr="001D13C1">
        <w:rPr>
          <w:rFonts w:asciiTheme="minorHAnsi" w:hAnsiTheme="minorHAnsi" w:cstheme="minorHAnsi"/>
          <w:sz w:val="24"/>
          <w:szCs w:val="24"/>
        </w:rPr>
        <w:t>.</w:t>
      </w:r>
    </w:p>
    <w:sectPr w:rsidR="00131B54" w:rsidRPr="001D13C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12D20" w14:textId="77777777" w:rsidR="00391D48" w:rsidRDefault="00391D48">
      <w:r>
        <w:separator/>
      </w:r>
    </w:p>
  </w:endnote>
  <w:endnote w:type="continuationSeparator" w:id="0">
    <w:p w14:paraId="5E9059F3" w14:textId="77777777" w:rsidR="00391D48" w:rsidRDefault="0039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404FFC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8" w:name="scf_leit_brief"/>
          <w:r>
            <w:rPr>
              <w:rFonts w:ascii="Siemens Sans" w:hAnsi="Siemens Sans"/>
            </w:rPr>
            <w:t>Letter of</w:t>
          </w:r>
          <w:bookmarkEnd w:id="8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9" w:name="scf_leit_an"/>
          <w:r>
            <w:rPr>
              <w:rFonts w:ascii="Siemens Sans" w:hAnsi="Siemens Sans"/>
            </w:rPr>
            <w:t>to</w:t>
          </w:r>
          <w:bookmarkEnd w:id="9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10" w:name="scf_leit_uz"/>
          <w:r>
            <w:rPr>
              <w:rFonts w:ascii="Siemens Sans" w:hAnsi="Siemens Sans"/>
            </w:rPr>
            <w:t>Our reference</w:t>
          </w:r>
          <w:bookmarkEnd w:id="10"/>
        </w:p>
      </w:tc>
    </w:tr>
    <w:tr w:rsidR="004234E0" w:rsidRPr="00404FFC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11" w:name="scf_Fuss3"/>
          <w:bookmarkEnd w:id="11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12" w:name="scf_Fuss4"/>
          <w:bookmarkEnd w:id="12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</w:t>
          </w:r>
          <w:smartTag w:uri="urn:schemas-microsoft-com:office:smarttags" w:element="PersonName">
            <w:r>
              <w:rPr>
                <w:rFonts w:ascii="Siemens Sans" w:hAnsi="Siemens Sans"/>
                <w:spacing w:val="-2"/>
                <w:lang w:val="pl-PL"/>
              </w:rPr>
              <w:t>Magdalena Kubik</w:t>
            </w:r>
          </w:smartTag>
          <w:r>
            <w:rPr>
              <w:rFonts w:ascii="Siemens Sans" w:hAnsi="Siemens Sans"/>
              <w:spacing w:val="-2"/>
              <w:lang w:val="pl-PL"/>
            </w:rPr>
            <w:t xml:space="preserve">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0EB82" w14:textId="77777777" w:rsidR="00391D48" w:rsidRDefault="00391D48">
      <w:r>
        <w:separator/>
      </w:r>
    </w:p>
  </w:footnote>
  <w:footnote w:type="continuationSeparator" w:id="0">
    <w:p w14:paraId="3672275A" w14:textId="77777777" w:rsidR="00391D48" w:rsidRDefault="0039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77777777" w:rsidR="004234E0" w:rsidRDefault="004234E0">
          <w:pPr>
            <w:pStyle w:val="scfstandard"/>
          </w:pPr>
          <w:r>
            <w:rPr>
              <w:lang w:val="pl-PL" w:eastAsia="pl-PL"/>
            </w:rPr>
            <w:fldChar w:fldCharType="begin"/>
          </w:r>
          <w:r>
            <w:rPr>
              <w:lang w:val="pl-PL" w:eastAsia="pl-PL"/>
            </w:rPr>
            <w:instrText xml:space="preserve"> REF  scf_marke  \* MERGEFORMAT </w:instrText>
          </w:r>
          <w:r>
            <w:rPr>
              <w:lang w:val="pl-PL" w:eastAsia="pl-PL"/>
            </w:rPr>
            <w:fldChar w:fldCharType="separate"/>
          </w:r>
          <w:r>
            <w:rPr>
              <w:lang w:val="pl-PL" w:eastAsia="pl-PL"/>
            </w:rPr>
            <w:drawing>
              <wp:inline distT="0" distB="0" distL="0" distR="0" wp14:anchorId="34170607" wp14:editId="724F17FA">
                <wp:extent cx="1441450" cy="228600"/>
                <wp:effectExtent l="0" t="0" r="0" b="0"/>
                <wp:docPr id="2" name="Obraz 2" descr="sie_logo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 descr="sie_logo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1CF9D89E" w14:textId="77777777" w:rsidR="004234E0" w:rsidRDefault="004234E0">
          <w:pPr>
            <w:pStyle w:val="scfZweitekopfzeile"/>
            <w:jc w:val="right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Materiał prasowy</w:t>
          </w:r>
        </w:p>
        <w:p w14:paraId="37F7DC3F" w14:textId="70DDD20F" w:rsidR="004234E0" w:rsidRDefault="009F0DEB">
          <w:pPr>
            <w:pStyle w:val="scfZweitekopfzeile"/>
            <w:jc w:val="right"/>
            <w:rPr>
              <w:lang w:val="pl-PL"/>
            </w:rPr>
          </w:pPr>
          <w:r>
            <w:rPr>
              <w:rFonts w:ascii="Siemens Sans" w:hAnsi="Siemens Sans"/>
              <w:lang w:val="pl-PL"/>
            </w:rPr>
            <w:t>Warszawa, październik</w:t>
          </w:r>
          <w:r w:rsidR="004234E0">
            <w:rPr>
              <w:rFonts w:ascii="Siemens Sans" w:hAnsi="Siemens Sans"/>
              <w:lang w:val="pl-PL"/>
            </w:rPr>
            <w:t xml:space="preserve"> 2019 r.</w:t>
          </w:r>
        </w:p>
      </w:tc>
    </w:tr>
  </w:tbl>
  <w:p w14:paraId="540BD1D4" w14:textId="77777777" w:rsidR="004234E0" w:rsidRDefault="004234E0">
    <w:pPr>
      <w:pStyle w:val="scfZweitekopfzeile"/>
      <w:spacing w:line="14" w:lineRule="exact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2FD12" w14:textId="77777777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7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77777777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27A15"/>
    <w:rsid w:val="00030B82"/>
    <w:rsid w:val="0003663C"/>
    <w:rsid w:val="00044485"/>
    <w:rsid w:val="0004527D"/>
    <w:rsid w:val="00047EC6"/>
    <w:rsid w:val="00062A5E"/>
    <w:rsid w:val="0006780A"/>
    <w:rsid w:val="00082551"/>
    <w:rsid w:val="0008525A"/>
    <w:rsid w:val="00090B18"/>
    <w:rsid w:val="00092465"/>
    <w:rsid w:val="000947FB"/>
    <w:rsid w:val="000B4ADE"/>
    <w:rsid w:val="000B7CDE"/>
    <w:rsid w:val="000C773C"/>
    <w:rsid w:val="000D6CB2"/>
    <w:rsid w:val="000E157A"/>
    <w:rsid w:val="000E2295"/>
    <w:rsid w:val="000F11DF"/>
    <w:rsid w:val="000F2F6C"/>
    <w:rsid w:val="000F4CF6"/>
    <w:rsid w:val="000F5BA6"/>
    <w:rsid w:val="001042E1"/>
    <w:rsid w:val="001107B9"/>
    <w:rsid w:val="00117223"/>
    <w:rsid w:val="001175C4"/>
    <w:rsid w:val="001260F0"/>
    <w:rsid w:val="0012709C"/>
    <w:rsid w:val="00131355"/>
    <w:rsid w:val="00131B54"/>
    <w:rsid w:val="001423F0"/>
    <w:rsid w:val="00143BB0"/>
    <w:rsid w:val="00153D67"/>
    <w:rsid w:val="00155DE0"/>
    <w:rsid w:val="001667E6"/>
    <w:rsid w:val="00177711"/>
    <w:rsid w:val="0019785F"/>
    <w:rsid w:val="001A184D"/>
    <w:rsid w:val="001B0626"/>
    <w:rsid w:val="001B4A1E"/>
    <w:rsid w:val="001C15A4"/>
    <w:rsid w:val="001C5BFE"/>
    <w:rsid w:val="001D13C1"/>
    <w:rsid w:val="001D15A6"/>
    <w:rsid w:val="001F4C82"/>
    <w:rsid w:val="001F5EA8"/>
    <w:rsid w:val="00201038"/>
    <w:rsid w:val="002022E2"/>
    <w:rsid w:val="00204F6F"/>
    <w:rsid w:val="00216293"/>
    <w:rsid w:val="002220DD"/>
    <w:rsid w:val="0022233A"/>
    <w:rsid w:val="002248D5"/>
    <w:rsid w:val="00230FF8"/>
    <w:rsid w:val="00233B94"/>
    <w:rsid w:val="00234BDF"/>
    <w:rsid w:val="00240CAF"/>
    <w:rsid w:val="00241AF5"/>
    <w:rsid w:val="002473B1"/>
    <w:rsid w:val="0025092B"/>
    <w:rsid w:val="00252599"/>
    <w:rsid w:val="002545E2"/>
    <w:rsid w:val="00256F0A"/>
    <w:rsid w:val="00272040"/>
    <w:rsid w:val="00280E2A"/>
    <w:rsid w:val="0028175E"/>
    <w:rsid w:val="00283781"/>
    <w:rsid w:val="00290EBA"/>
    <w:rsid w:val="002A498A"/>
    <w:rsid w:val="002B3237"/>
    <w:rsid w:val="002D180B"/>
    <w:rsid w:val="002E5279"/>
    <w:rsid w:val="002F6A01"/>
    <w:rsid w:val="003126BF"/>
    <w:rsid w:val="003171D4"/>
    <w:rsid w:val="00331262"/>
    <w:rsid w:val="003431E9"/>
    <w:rsid w:val="0034342F"/>
    <w:rsid w:val="0034557A"/>
    <w:rsid w:val="00346C04"/>
    <w:rsid w:val="0035080C"/>
    <w:rsid w:val="00384345"/>
    <w:rsid w:val="00391D48"/>
    <w:rsid w:val="003A3DB2"/>
    <w:rsid w:val="003A57B5"/>
    <w:rsid w:val="003A7B1D"/>
    <w:rsid w:val="003C1E77"/>
    <w:rsid w:val="003C3E15"/>
    <w:rsid w:val="003C7711"/>
    <w:rsid w:val="003D1AFD"/>
    <w:rsid w:val="003D75BD"/>
    <w:rsid w:val="003E53CD"/>
    <w:rsid w:val="00404FFC"/>
    <w:rsid w:val="004140E4"/>
    <w:rsid w:val="00420032"/>
    <w:rsid w:val="004234E0"/>
    <w:rsid w:val="00436348"/>
    <w:rsid w:val="00436A7D"/>
    <w:rsid w:val="004430E9"/>
    <w:rsid w:val="00443877"/>
    <w:rsid w:val="00446EA7"/>
    <w:rsid w:val="00455FFE"/>
    <w:rsid w:val="00457D07"/>
    <w:rsid w:val="004616C5"/>
    <w:rsid w:val="004650A1"/>
    <w:rsid w:val="004735A6"/>
    <w:rsid w:val="00473ECF"/>
    <w:rsid w:val="0048120A"/>
    <w:rsid w:val="00491B33"/>
    <w:rsid w:val="004A01DE"/>
    <w:rsid w:val="004B0550"/>
    <w:rsid w:val="004B2402"/>
    <w:rsid w:val="004C0378"/>
    <w:rsid w:val="004C30ED"/>
    <w:rsid w:val="004C6DA3"/>
    <w:rsid w:val="004D3CF6"/>
    <w:rsid w:val="004E194A"/>
    <w:rsid w:val="004E4510"/>
    <w:rsid w:val="004F3918"/>
    <w:rsid w:val="00510055"/>
    <w:rsid w:val="00516C67"/>
    <w:rsid w:val="00525A3D"/>
    <w:rsid w:val="005369D0"/>
    <w:rsid w:val="00536ECF"/>
    <w:rsid w:val="005411A7"/>
    <w:rsid w:val="00546C6D"/>
    <w:rsid w:val="00562D05"/>
    <w:rsid w:val="00575D34"/>
    <w:rsid w:val="0058746D"/>
    <w:rsid w:val="00593036"/>
    <w:rsid w:val="005A412F"/>
    <w:rsid w:val="005B2350"/>
    <w:rsid w:val="005B317B"/>
    <w:rsid w:val="005C3CB5"/>
    <w:rsid w:val="005D02C2"/>
    <w:rsid w:val="005D67E1"/>
    <w:rsid w:val="005E315B"/>
    <w:rsid w:val="005E459E"/>
    <w:rsid w:val="005F4D9E"/>
    <w:rsid w:val="005F73ED"/>
    <w:rsid w:val="005F7D27"/>
    <w:rsid w:val="00601F58"/>
    <w:rsid w:val="00607080"/>
    <w:rsid w:val="00613FCB"/>
    <w:rsid w:val="00637F48"/>
    <w:rsid w:val="00641AC2"/>
    <w:rsid w:val="0066153F"/>
    <w:rsid w:val="00666461"/>
    <w:rsid w:val="00683776"/>
    <w:rsid w:val="00687B04"/>
    <w:rsid w:val="00694AB7"/>
    <w:rsid w:val="00696193"/>
    <w:rsid w:val="00696275"/>
    <w:rsid w:val="006A4949"/>
    <w:rsid w:val="006B72C3"/>
    <w:rsid w:val="006D3FE5"/>
    <w:rsid w:val="006D7291"/>
    <w:rsid w:val="006E549B"/>
    <w:rsid w:val="006E6F89"/>
    <w:rsid w:val="006F47B5"/>
    <w:rsid w:val="007076DD"/>
    <w:rsid w:val="00715688"/>
    <w:rsid w:val="00732AC1"/>
    <w:rsid w:val="00734819"/>
    <w:rsid w:val="00747C8F"/>
    <w:rsid w:val="007618B2"/>
    <w:rsid w:val="00763B3B"/>
    <w:rsid w:val="007718EA"/>
    <w:rsid w:val="00776C46"/>
    <w:rsid w:val="00782B93"/>
    <w:rsid w:val="007947F7"/>
    <w:rsid w:val="0079609D"/>
    <w:rsid w:val="007C6715"/>
    <w:rsid w:val="007D2BEE"/>
    <w:rsid w:val="00801AB3"/>
    <w:rsid w:val="008066E1"/>
    <w:rsid w:val="008069D3"/>
    <w:rsid w:val="0085046E"/>
    <w:rsid w:val="00854A14"/>
    <w:rsid w:val="00866758"/>
    <w:rsid w:val="00875A37"/>
    <w:rsid w:val="008A5ACB"/>
    <w:rsid w:val="008C0487"/>
    <w:rsid w:val="008C2BF7"/>
    <w:rsid w:val="008E693E"/>
    <w:rsid w:val="008F0756"/>
    <w:rsid w:val="008F232C"/>
    <w:rsid w:val="008F4C85"/>
    <w:rsid w:val="009021AE"/>
    <w:rsid w:val="009127A9"/>
    <w:rsid w:val="00917320"/>
    <w:rsid w:val="009222BD"/>
    <w:rsid w:val="009401BC"/>
    <w:rsid w:val="00940BFC"/>
    <w:rsid w:val="009441A5"/>
    <w:rsid w:val="0094427E"/>
    <w:rsid w:val="00983096"/>
    <w:rsid w:val="00995030"/>
    <w:rsid w:val="009B1C9A"/>
    <w:rsid w:val="009B29E8"/>
    <w:rsid w:val="009B2A22"/>
    <w:rsid w:val="009D1DF8"/>
    <w:rsid w:val="009D3E35"/>
    <w:rsid w:val="009E09B7"/>
    <w:rsid w:val="009E608A"/>
    <w:rsid w:val="009F0DEB"/>
    <w:rsid w:val="009F3704"/>
    <w:rsid w:val="009F436E"/>
    <w:rsid w:val="009F7142"/>
    <w:rsid w:val="00A1119D"/>
    <w:rsid w:val="00A2113C"/>
    <w:rsid w:val="00A35225"/>
    <w:rsid w:val="00A458C8"/>
    <w:rsid w:val="00A57EE3"/>
    <w:rsid w:val="00A60547"/>
    <w:rsid w:val="00A6307F"/>
    <w:rsid w:val="00A66936"/>
    <w:rsid w:val="00A7122C"/>
    <w:rsid w:val="00A807B4"/>
    <w:rsid w:val="00A901FE"/>
    <w:rsid w:val="00AB09C2"/>
    <w:rsid w:val="00AB2C2F"/>
    <w:rsid w:val="00AB607B"/>
    <w:rsid w:val="00AB7CF5"/>
    <w:rsid w:val="00AC0DAA"/>
    <w:rsid w:val="00AC7FA1"/>
    <w:rsid w:val="00AD3E1E"/>
    <w:rsid w:val="00AE032C"/>
    <w:rsid w:val="00B070A1"/>
    <w:rsid w:val="00B26D72"/>
    <w:rsid w:val="00B33AF7"/>
    <w:rsid w:val="00B4542F"/>
    <w:rsid w:val="00B51C42"/>
    <w:rsid w:val="00B61AB5"/>
    <w:rsid w:val="00B6639B"/>
    <w:rsid w:val="00B72CB3"/>
    <w:rsid w:val="00B73206"/>
    <w:rsid w:val="00B9181C"/>
    <w:rsid w:val="00B9357B"/>
    <w:rsid w:val="00BA36F5"/>
    <w:rsid w:val="00BB3511"/>
    <w:rsid w:val="00BC3FF3"/>
    <w:rsid w:val="00BD3FD3"/>
    <w:rsid w:val="00BE193A"/>
    <w:rsid w:val="00BE1CA1"/>
    <w:rsid w:val="00C64C5D"/>
    <w:rsid w:val="00C8176C"/>
    <w:rsid w:val="00CA5FB4"/>
    <w:rsid w:val="00CC0955"/>
    <w:rsid w:val="00CE0660"/>
    <w:rsid w:val="00CE10CF"/>
    <w:rsid w:val="00CE6924"/>
    <w:rsid w:val="00CF3187"/>
    <w:rsid w:val="00D14500"/>
    <w:rsid w:val="00D15E73"/>
    <w:rsid w:val="00D333DC"/>
    <w:rsid w:val="00D36887"/>
    <w:rsid w:val="00D40197"/>
    <w:rsid w:val="00D4442A"/>
    <w:rsid w:val="00D53609"/>
    <w:rsid w:val="00D76AA7"/>
    <w:rsid w:val="00DA464A"/>
    <w:rsid w:val="00DB0930"/>
    <w:rsid w:val="00DD1587"/>
    <w:rsid w:val="00DD25E5"/>
    <w:rsid w:val="00DD2868"/>
    <w:rsid w:val="00DD47B9"/>
    <w:rsid w:val="00DE3E10"/>
    <w:rsid w:val="00DF1A71"/>
    <w:rsid w:val="00DF4729"/>
    <w:rsid w:val="00DF5930"/>
    <w:rsid w:val="00E001F6"/>
    <w:rsid w:val="00E00D2C"/>
    <w:rsid w:val="00E11912"/>
    <w:rsid w:val="00E14BF3"/>
    <w:rsid w:val="00E7742F"/>
    <w:rsid w:val="00E77FAC"/>
    <w:rsid w:val="00E86679"/>
    <w:rsid w:val="00EC4F37"/>
    <w:rsid w:val="00EE61DC"/>
    <w:rsid w:val="00EE703F"/>
    <w:rsid w:val="00EF5642"/>
    <w:rsid w:val="00F04B54"/>
    <w:rsid w:val="00F15B9B"/>
    <w:rsid w:val="00F17BEF"/>
    <w:rsid w:val="00F246FB"/>
    <w:rsid w:val="00F37D37"/>
    <w:rsid w:val="00F471CF"/>
    <w:rsid w:val="00F5591C"/>
    <w:rsid w:val="00F56112"/>
    <w:rsid w:val="00F86AAD"/>
    <w:rsid w:val="00F931EB"/>
    <w:rsid w:val="00FA0F65"/>
    <w:rsid w:val="00FA1C9E"/>
    <w:rsid w:val="00FA5E2C"/>
    <w:rsid w:val="00FB1992"/>
    <w:rsid w:val="00FD4A24"/>
    <w:rsid w:val="00FE16B4"/>
    <w:rsid w:val="00FE54DE"/>
    <w:rsid w:val="00FF3CCA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B1D47EC"/>
  <w15:docId w15:val="{A97F6278-3A94-4C62-82D5-B3585151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men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C427-02FA-4B93-90DB-436FBD4D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6</TotalTime>
  <Pages>3</Pages>
  <Words>1159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Joanna Szajner</dc:creator>
  <cp:keywords>Externer Geschäftsbrief Brief;C_Unrestricted</cp:keywords>
  <cp:lastModifiedBy>Radosław Pupiec</cp:lastModifiedBy>
  <cp:revision>5</cp:revision>
  <cp:lastPrinted>2018-12-12T15:12:00Z</cp:lastPrinted>
  <dcterms:created xsi:type="dcterms:W3CDTF">2019-08-30T14:44:00Z</dcterms:created>
  <dcterms:modified xsi:type="dcterms:W3CDTF">2019-10-03T07:08:00Z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</Properties>
</file>