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079D3C1C" w:rsidR="00083442" w:rsidRPr="004829BD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bookmarkStart w:id="1" w:name="_Hlk32315847"/>
      <w:bookmarkEnd w:id="1"/>
      <w:r w:rsidRPr="004829BD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D32F4F" w:rsidRPr="004829BD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00307A">
        <w:rPr>
          <w:rFonts w:ascii="Arial" w:hAnsi="Arial" w:cs="Arial"/>
          <w:sz w:val="21"/>
          <w:szCs w:val="21"/>
          <w:lang w:val="pl-PL" w:eastAsia="pl-PL"/>
        </w:rPr>
        <w:t>24</w:t>
      </w:r>
      <w:bookmarkStart w:id="2" w:name="_GoBack"/>
      <w:bookmarkEnd w:id="2"/>
      <w:r w:rsidR="00030CF2" w:rsidRPr="00F55BB9">
        <w:rPr>
          <w:rFonts w:ascii="Arial" w:hAnsi="Arial" w:cs="Arial"/>
          <w:sz w:val="21"/>
          <w:szCs w:val="21"/>
          <w:lang w:val="pl-PL" w:eastAsia="pl-PL"/>
        </w:rPr>
        <w:t xml:space="preserve"> lutego</w:t>
      </w:r>
      <w:r w:rsidR="004D684A" w:rsidRPr="004829BD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829BD">
        <w:rPr>
          <w:rFonts w:ascii="Arial" w:hAnsi="Arial" w:cs="Arial"/>
          <w:sz w:val="21"/>
          <w:szCs w:val="21"/>
          <w:lang w:val="pl-PL" w:eastAsia="pl-PL"/>
        </w:rPr>
        <w:t>20</w:t>
      </w:r>
      <w:r w:rsidR="00030CF2" w:rsidRPr="004829BD">
        <w:rPr>
          <w:rFonts w:ascii="Arial" w:hAnsi="Arial" w:cs="Arial"/>
          <w:sz w:val="21"/>
          <w:szCs w:val="21"/>
          <w:lang w:val="pl-PL" w:eastAsia="pl-PL"/>
        </w:rPr>
        <w:t>20</w:t>
      </w:r>
      <w:r w:rsidRPr="004829BD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829BD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2557AF01" w14:textId="593A241C" w:rsidR="00856ED3" w:rsidRPr="004829BD" w:rsidRDefault="00106C41" w:rsidP="003127B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O </w:t>
      </w:r>
      <w:r w:rsidR="00A016EB"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>roli</w:t>
      </w:r>
      <w:r w:rsidR="00C62A04"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 </w:t>
      </w:r>
      <w:r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nagród w programach lojalnościowych </w:t>
      </w:r>
    </w:p>
    <w:p w14:paraId="73163E40" w14:textId="16913EAD" w:rsidR="00DC62B3" w:rsidRPr="004829BD" w:rsidRDefault="00856ED3" w:rsidP="00DC62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Uczestnicy programów lojalnościowych w B2B, zamiennie nazywanych partnerskimi czy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motywacyjnymi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, oczekują od organizatora atrakcyjnych gratyfikacji</w:t>
      </w:r>
      <w:r w:rsidR="00507E71">
        <w:rPr>
          <w:rFonts w:ascii="Arial" w:hAnsi="Arial" w:cs="Arial"/>
          <w:b/>
          <w:bCs/>
          <w:sz w:val="22"/>
          <w:szCs w:val="22"/>
          <w:lang w:val="pl-PL" w:eastAsia="pl-PL"/>
        </w:rPr>
        <w:t>. P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rzyznają, że nagrody są gł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ó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wną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motywacją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do 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udziału w konkretnym programie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(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39 proc)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podczas gdy 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ich zbyt mały wybór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to kluczowy czynnik 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zniechę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cający 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(50 proc.) 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– wynika z badania „Kompas lojalności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w B2B. Oczekiwania uczestników a rzeczywistość” zrealizowane</w:t>
      </w:r>
      <w:r w:rsidR="00507E71">
        <w:rPr>
          <w:rFonts w:ascii="Arial" w:hAnsi="Arial" w:cs="Arial"/>
          <w:b/>
          <w:bCs/>
          <w:sz w:val="22"/>
          <w:szCs w:val="22"/>
          <w:lang w:val="pl-PL" w:eastAsia="pl-PL"/>
        </w:rPr>
        <w:t>go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przez IRCenter na zlecenie Sodexo Benefits and Rewards Services Polska.</w:t>
      </w:r>
      <w:r w:rsidR="00546AFF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5C633E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Jak i czym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nagradzać kontrahentów z branży budowlanej, FMCG, OTC, motoryzacyjnej czy elektroni</w:t>
      </w:r>
      <w:r w:rsidR="00AA051D">
        <w:rPr>
          <w:rFonts w:ascii="Arial" w:hAnsi="Arial" w:cs="Arial"/>
          <w:b/>
          <w:bCs/>
          <w:sz w:val="22"/>
          <w:szCs w:val="22"/>
          <w:lang w:val="pl-PL" w:eastAsia="pl-PL"/>
        </w:rPr>
        <w:t>cznej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, RTV i AGD</w:t>
      </w:r>
      <w:r w:rsidR="00546AFF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by wspierać cele </w:t>
      </w:r>
      <w:r w:rsidR="001F2372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sprzedażowe</w:t>
      </w:r>
      <w:r w:rsidR="00546AFF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spółki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?</w:t>
      </w:r>
    </w:p>
    <w:p w14:paraId="315643BF" w14:textId="77777777" w:rsidR="00546AFF" w:rsidRPr="004829BD" w:rsidRDefault="00546AFF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DA3E176" w14:textId="39628BEC" w:rsidR="00DC62B3" w:rsidRPr="004829BD" w:rsidRDefault="004829B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Zanim zostanie przyznana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konkretna </w:t>
      </w:r>
      <w:r w:rsidRPr="004829BD">
        <w:rPr>
          <w:rFonts w:ascii="Arial" w:hAnsi="Arial" w:cs="Arial"/>
          <w:sz w:val="22"/>
          <w:szCs w:val="22"/>
          <w:lang w:val="pl-PL" w:eastAsia="pl-PL"/>
        </w:rPr>
        <w:t>nagroda warto spojrzeć</w:t>
      </w:r>
      <w:r w:rsidR="0035760C">
        <w:rPr>
          <w:rFonts w:ascii="Arial" w:hAnsi="Arial" w:cs="Arial"/>
          <w:sz w:val="22"/>
          <w:szCs w:val="22"/>
          <w:lang w:val="pl-PL" w:eastAsia="pl-PL"/>
        </w:rPr>
        <w:t>,</w:t>
      </w: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 jakie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są </w:t>
      </w: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kryteria </w:t>
      </w:r>
      <w:r w:rsidR="006958A6">
        <w:rPr>
          <w:rFonts w:ascii="Arial" w:hAnsi="Arial" w:cs="Arial"/>
          <w:sz w:val="22"/>
          <w:szCs w:val="22"/>
          <w:lang w:val="pl-PL" w:eastAsia="pl-PL"/>
        </w:rPr>
        <w:t>jej przyznawania.</w:t>
      </w: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>Organizatorzy programów stosują różne mechanizmy</w:t>
      </w:r>
      <w:r w:rsidR="001F2372" w:rsidRPr="004829BD">
        <w:rPr>
          <w:rFonts w:ascii="Arial" w:hAnsi="Arial" w:cs="Arial"/>
          <w:sz w:val="22"/>
          <w:szCs w:val="22"/>
          <w:lang w:val="pl-PL" w:eastAsia="pl-PL"/>
        </w:rPr>
        <w:t xml:space="preserve"> gratyfikacji uczestników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, począwszy </w:t>
      </w:r>
      <w:r w:rsidR="008B3AD1" w:rsidRPr="004829BD">
        <w:rPr>
          <w:rFonts w:ascii="Arial" w:hAnsi="Arial" w:cs="Arial"/>
          <w:sz w:val="22"/>
          <w:szCs w:val="22"/>
          <w:lang w:val="pl-PL" w:eastAsia="pl-PL"/>
        </w:rPr>
        <w:t>od</w:t>
      </w:r>
      <w:r w:rsidR="008B3AD1">
        <w:rPr>
          <w:rFonts w:ascii="Arial" w:hAnsi="Arial" w:cs="Arial"/>
          <w:sz w:val="22"/>
          <w:szCs w:val="22"/>
          <w:lang w:val="pl-PL" w:eastAsia="pl-PL"/>
        </w:rPr>
        <w:t> 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nagradzania proporcjonalnie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do wielkości transakcji,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przez s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przedaż konkretnego produktu, </w:t>
      </w:r>
      <w:r w:rsidR="008B3AD1" w:rsidRPr="004829BD">
        <w:rPr>
          <w:rFonts w:ascii="Arial" w:hAnsi="Arial" w:cs="Arial"/>
          <w:sz w:val="22"/>
          <w:szCs w:val="22"/>
          <w:lang w:val="pl-PL" w:eastAsia="pl-PL"/>
        </w:rPr>
        <w:t>po</w:t>
      </w:r>
      <w:r w:rsidR="008B3AD1">
        <w:rPr>
          <w:rFonts w:ascii="Arial" w:hAnsi="Arial" w:cs="Arial"/>
          <w:sz w:val="22"/>
          <w:szCs w:val="22"/>
          <w:lang w:val="pl-PL" w:eastAsia="pl-PL"/>
        </w:rPr>
        <w:t> 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ekspozycję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towaru w punkcie sprzedaży.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A jak chcą być nagradzani kontrahenci i partnerzy biznesowi przystępujący do program</w:t>
      </w:r>
      <w:r w:rsidR="0085422E">
        <w:rPr>
          <w:rFonts w:ascii="Arial" w:hAnsi="Arial" w:cs="Arial"/>
          <w:sz w:val="22"/>
          <w:szCs w:val="22"/>
          <w:lang w:val="pl-PL" w:eastAsia="pl-PL"/>
        </w:rPr>
        <w:t>u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 partnerskiego?</w:t>
      </w:r>
    </w:p>
    <w:p w14:paraId="0A4696FB" w14:textId="77777777" w:rsidR="004829BD" w:rsidRPr="004829BD" w:rsidRDefault="004829B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21CA500" w14:textId="20D4B091" w:rsidR="0009491C" w:rsidRPr="004829BD" w:rsidRDefault="0009491C" w:rsidP="0009491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4829BD">
        <w:rPr>
          <w:rFonts w:ascii="Arial" w:hAnsi="Arial" w:cs="Arial"/>
          <w:noProof/>
          <w:color w:val="5B9BD5" w:themeColor="accent1"/>
          <w:sz w:val="20"/>
          <w:szCs w:val="20"/>
        </w:rPr>
        <w:drawing>
          <wp:inline distT="0" distB="0" distL="0" distR="0" wp14:anchorId="676DA50F" wp14:editId="5BC595DC">
            <wp:extent cx="5532120" cy="2498584"/>
            <wp:effectExtent l="0" t="0" r="11430" b="1651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6DDD53E5-DF5B-424A-A58D-4674753E6E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C1F329" w14:textId="3F9A260A" w:rsidR="005C633E" w:rsidRPr="004829BD" w:rsidRDefault="005C633E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116A56E9" w14:textId="25C0067B" w:rsidR="005C633E" w:rsidRPr="008E4485" w:rsidRDefault="004829B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„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Z przeprowadzonego </w:t>
      </w:r>
      <w:r w:rsidR="0035760C">
        <w:rPr>
          <w:rFonts w:ascii="Arial" w:hAnsi="Arial" w:cs="Arial"/>
          <w:sz w:val="22"/>
          <w:szCs w:val="22"/>
          <w:lang w:val="pl-PL" w:eastAsia="pl-PL"/>
        </w:rPr>
        <w:t>na nasze zlecenie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 badania wynika, że z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arówno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uczestnicy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programów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z branży FMCG, budowlane</w:t>
      </w:r>
      <w:r w:rsidR="00AE4CDC">
        <w:rPr>
          <w:rFonts w:ascii="Arial" w:hAnsi="Arial" w:cs="Arial"/>
          <w:sz w:val="22"/>
          <w:szCs w:val="22"/>
          <w:lang w:val="pl-PL" w:eastAsia="pl-PL"/>
        </w:rPr>
        <w:t>j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>, motoryzacyjnej, jak i elektroni</w:t>
      </w:r>
      <w:r w:rsidR="00AE4CDC">
        <w:rPr>
          <w:rFonts w:ascii="Arial" w:hAnsi="Arial" w:cs="Arial"/>
          <w:sz w:val="22"/>
          <w:szCs w:val="22"/>
          <w:lang w:val="pl-PL" w:eastAsia="pl-PL"/>
        </w:rPr>
        <w:t>cznej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, RTV i AGD, czy OTC oczekują, że będą nagradzani za każdą transakcję.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Ten mechanizm dominuje </w:t>
      </w:r>
      <w:r w:rsidR="006E52B1">
        <w:rPr>
          <w:rFonts w:ascii="Arial" w:hAnsi="Arial" w:cs="Arial"/>
          <w:sz w:val="22"/>
          <w:szCs w:val="22"/>
          <w:lang w:val="pl-PL" w:eastAsia="pl-PL"/>
        </w:rPr>
        <w:t xml:space="preserve">też </w:t>
      </w:r>
      <w:r w:rsidR="00B10CEA">
        <w:rPr>
          <w:rFonts w:ascii="Arial" w:hAnsi="Arial" w:cs="Arial"/>
          <w:sz w:val="22"/>
          <w:szCs w:val="22"/>
          <w:lang w:val="pl-PL" w:eastAsia="pl-PL"/>
        </w:rPr>
        <w:t>wśród stosowanych</w:t>
      </w:r>
      <w:r w:rsidR="006E52B1">
        <w:rPr>
          <w:rFonts w:ascii="Arial" w:hAnsi="Arial" w:cs="Arial"/>
          <w:sz w:val="22"/>
          <w:szCs w:val="22"/>
          <w:lang w:val="pl-PL" w:eastAsia="pl-PL"/>
        </w:rPr>
        <w:t xml:space="preserve"> przez organizatorów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Mowa tu </w:t>
      </w:r>
      <w:r w:rsidR="00AE4CDC">
        <w:rPr>
          <w:rFonts w:ascii="Arial" w:hAnsi="Arial" w:cs="Arial"/>
          <w:sz w:val="22"/>
          <w:szCs w:val="22"/>
          <w:lang w:val="pl-PL" w:eastAsia="pl-PL"/>
        </w:rPr>
        <w:t xml:space="preserve">o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sytuacji, w której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za każde wydane 1 złotych przyznawany jest 1 punkt. </w:t>
      </w:r>
      <w:r w:rsidR="007C26BF">
        <w:rPr>
          <w:rFonts w:ascii="Arial" w:hAnsi="Arial" w:cs="Arial"/>
          <w:sz w:val="22"/>
          <w:szCs w:val="22"/>
          <w:lang w:val="pl-PL" w:eastAsia="pl-PL"/>
        </w:rPr>
        <w:t>D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rugim najbardziej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pożądanym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mechanizmem </w:t>
      </w:r>
      <w:r w:rsidR="0035760C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docenianie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regularności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dokonywanych transakcji.</w:t>
      </w:r>
      <w:r w:rsid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E4485" w:rsidRPr="008E4485">
        <w:rPr>
          <w:rFonts w:ascii="Arial" w:hAnsi="Arial" w:cs="Arial"/>
          <w:sz w:val="22"/>
          <w:szCs w:val="22"/>
          <w:lang w:val="pl-PL" w:eastAsia="pl-PL"/>
        </w:rPr>
        <w:t xml:space="preserve">Jest to tym </w:t>
      </w:r>
      <w:r w:rsidR="008E4485">
        <w:rPr>
          <w:rFonts w:ascii="Arial" w:hAnsi="Arial" w:cs="Arial"/>
          <w:sz w:val="22"/>
          <w:szCs w:val="22"/>
          <w:lang w:val="pl-PL" w:eastAsia="pl-PL"/>
        </w:rPr>
        <w:t>ważniejszy</w:t>
      </w:r>
      <w:r w:rsidR="008E4485" w:rsidRPr="008E4485">
        <w:rPr>
          <w:rFonts w:ascii="Arial" w:hAnsi="Arial" w:cs="Arial"/>
          <w:sz w:val="22"/>
          <w:szCs w:val="22"/>
          <w:lang w:val="pl-PL" w:eastAsia="pl-PL"/>
        </w:rPr>
        <w:t xml:space="preserve"> aspe</w:t>
      </w:r>
      <w:r w:rsidR="008E4485">
        <w:rPr>
          <w:rFonts w:ascii="Arial" w:hAnsi="Arial" w:cs="Arial"/>
          <w:sz w:val="22"/>
          <w:szCs w:val="22"/>
          <w:lang w:val="pl-PL" w:eastAsia="pl-PL"/>
        </w:rPr>
        <w:t>k</w:t>
      </w:r>
      <w:r w:rsidR="008E4485" w:rsidRPr="008E4485">
        <w:rPr>
          <w:rFonts w:ascii="Arial" w:hAnsi="Arial" w:cs="Arial"/>
          <w:sz w:val="22"/>
          <w:szCs w:val="22"/>
          <w:lang w:val="pl-PL" w:eastAsia="pl-PL"/>
        </w:rPr>
        <w:t>t motywacji,</w:t>
      </w:r>
      <w:r w:rsid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5FBF">
        <w:rPr>
          <w:rFonts w:ascii="Arial" w:hAnsi="Arial" w:cs="Arial"/>
          <w:sz w:val="22"/>
          <w:szCs w:val="22"/>
          <w:lang w:val="pl-PL" w:eastAsia="pl-PL"/>
        </w:rPr>
        <w:t>i</w:t>
      </w:r>
      <w:r w:rsidR="008E4485">
        <w:rPr>
          <w:rFonts w:ascii="Arial" w:hAnsi="Arial" w:cs="Arial"/>
          <w:sz w:val="22"/>
          <w:szCs w:val="22"/>
          <w:lang w:val="pl-PL" w:eastAsia="pl-PL"/>
        </w:rPr>
        <w:t>ż jest niezwykle rzadko stosowany w praktyce, a przecież to regularność trwania relacji jest istotą lojalności</w:t>
      </w:r>
      <w:r w:rsidR="007E5FBF">
        <w:rPr>
          <w:rFonts w:ascii="Arial" w:hAnsi="Arial" w:cs="Arial"/>
          <w:sz w:val="22"/>
          <w:szCs w:val="22"/>
          <w:lang w:val="pl-PL" w:eastAsia="pl-PL"/>
        </w:rPr>
        <w:t xml:space="preserve"> i partnerstwa w biznesie</w:t>
      </w:r>
      <w:r w:rsidR="00B10CEA" w:rsidRPr="008E4485">
        <w:rPr>
          <w:rFonts w:ascii="Arial" w:hAnsi="Arial" w:cs="Arial"/>
          <w:sz w:val="22"/>
          <w:szCs w:val="22"/>
          <w:lang w:val="pl-PL" w:eastAsia="pl-PL"/>
        </w:rPr>
        <w:t>”</w:t>
      </w:r>
      <w:r w:rsidR="00A016EB" w:rsidRP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C26BF" w:rsidRPr="008E4485">
        <w:rPr>
          <w:rFonts w:ascii="Arial" w:hAnsi="Arial" w:cs="Arial"/>
          <w:sz w:val="22"/>
          <w:szCs w:val="22"/>
          <w:lang w:val="pl-PL" w:eastAsia="pl-PL"/>
        </w:rPr>
        <w:t>–</w:t>
      </w:r>
      <w:r w:rsidR="006958A6" w:rsidRPr="008E4485">
        <w:rPr>
          <w:rFonts w:ascii="Arial" w:hAnsi="Arial" w:cs="Arial"/>
          <w:sz w:val="22"/>
          <w:szCs w:val="22"/>
          <w:lang w:val="pl-PL" w:eastAsia="pl-PL"/>
        </w:rPr>
        <w:t xml:space="preserve"> wyjaśnia</w:t>
      </w:r>
      <w:r w:rsidR="001F2372" w:rsidRP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F2372" w:rsidRPr="0035760C">
        <w:rPr>
          <w:rFonts w:ascii="Arial" w:hAnsi="Arial" w:cs="Arial"/>
          <w:b/>
          <w:bCs/>
          <w:sz w:val="22"/>
          <w:szCs w:val="22"/>
          <w:lang w:eastAsia="pl-PL"/>
        </w:rPr>
        <w:t xml:space="preserve">Justyna Klimuk, Incentive </w:t>
      </w:r>
      <w:r w:rsidR="00CF0B60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1F2372" w:rsidRPr="0035760C">
        <w:rPr>
          <w:rFonts w:ascii="Arial" w:hAnsi="Arial" w:cs="Arial"/>
          <w:b/>
          <w:bCs/>
          <w:sz w:val="22"/>
          <w:szCs w:val="22"/>
          <w:lang w:eastAsia="pl-PL"/>
        </w:rPr>
        <w:t xml:space="preserve">&amp; Recognition Product Portfolio Manager </w:t>
      </w:r>
      <w:r w:rsidR="00243839" w:rsidRPr="0035760C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243839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="001F2372" w:rsidRPr="0035760C">
        <w:rPr>
          <w:rFonts w:ascii="Arial" w:hAnsi="Arial" w:cs="Arial"/>
          <w:b/>
          <w:bCs/>
          <w:sz w:val="22"/>
          <w:szCs w:val="22"/>
          <w:lang w:eastAsia="pl-PL"/>
        </w:rPr>
        <w:t>Sodexo Benefits and Rewards Services Polska.</w:t>
      </w:r>
    </w:p>
    <w:p w14:paraId="435089B1" w14:textId="03BF2DB0" w:rsidR="001F2372" w:rsidRPr="008E4485" w:rsidRDefault="001F2372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5FC5C717" w14:textId="795D5EDA" w:rsidR="00A016EB" w:rsidRPr="004829BD" w:rsidRDefault="0009491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Czym nagradzać?</w:t>
      </w:r>
    </w:p>
    <w:p w14:paraId="2C69896F" w14:textId="0152F1AD" w:rsidR="0035760C" w:rsidRPr="008A25F8" w:rsidRDefault="00E9592C" w:rsidP="006E52B1">
      <w:pPr>
        <w:pStyle w:val="NormalnyWeb"/>
        <w:spacing w:before="200" w:beforeAutospacing="0" w:after="0" w:afterAutospacing="0" w:line="276" w:lineRule="auto"/>
        <w:jc w:val="both"/>
        <w:rPr>
          <w:rFonts w:ascii="Arial" w:eastAsia="Ebrima" w:hAnsi="Arial" w:cs="Arial"/>
          <w:kern w:val="24"/>
          <w:sz w:val="22"/>
          <w:szCs w:val="22"/>
          <w:lang w:val="fr-FR"/>
        </w:rPr>
      </w:pPr>
      <w:r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Patrząc przez pryzmat wszy</w:t>
      </w:r>
      <w:r w:rsidR="006933E5">
        <w:rPr>
          <w:rFonts w:ascii="Arial" w:eastAsia="Ebrima" w:hAnsi="Arial" w:cs="Arial"/>
          <w:kern w:val="24"/>
          <w:sz w:val="22"/>
          <w:szCs w:val="22"/>
          <w:lang w:val="fr-FR"/>
        </w:rPr>
        <w:t>s</w:t>
      </w:r>
      <w:r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tkich badanych branż</w:t>
      </w:r>
      <w:r w:rsidR="00B83860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,</w:t>
      </w:r>
      <w:r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 najbardziej pożądane rodzaje nagród to karty przedpłacone z limitem (53 proc.), możliwość wyboru nagrody z szerokiego katalogu (48 proc.) oraz konkretne upominki rzeczowe (47 proc.). </w:t>
      </w:r>
      <w:r w:rsidR="00B10CEA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Planując wdrożenie programu w konkretnym sektorze w</w:t>
      </w:r>
      <w:r w:rsidR="006958A6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arto przejść od ogółu do szczegółu. </w:t>
      </w:r>
      <w:r w:rsidR="004829BD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Czym nagradzać kontrahentów z branży budowlanej, FMCG, OTC, motoryzacyjnej czy elektroni</w:t>
      </w:r>
      <w:r w:rsidR="00B83860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cznej</w:t>
      </w:r>
      <w:r w:rsidR="004829BD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, RTV i AGD, by wspierać cele sprzedażowe spółki</w:t>
      </w:r>
      <w:r w:rsidR="006958A6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 i budować trwałe relacje z kontrahentami</w:t>
      </w:r>
      <w:r w:rsidR="004829BD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?</w:t>
      </w:r>
      <w:r w:rsidR="006E52B1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 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„Aby wzbudzić pozytywne emocje uczestników programów partnerskich </w:t>
      </w:r>
      <w:r w:rsidR="006E52B1" w:rsidRPr="008A25F8">
        <w:rPr>
          <w:rFonts w:ascii="Arial" w:eastAsia="Ebrima" w:hAnsi="Arial" w:cs="Arial"/>
          <w:kern w:val="24"/>
          <w:sz w:val="22"/>
          <w:szCs w:val="22"/>
        </w:rPr>
        <w:br/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>w branży budowlanej warto postawić na nagrody z szerokiego katalogu i karty przedpłacone. Przedstawiciele tego sektora ucieszą się także z tradycyjnych bonów</w:t>
      </w:r>
      <w:r w:rsidR="00B83860" w:rsidRPr="008A25F8">
        <w:rPr>
          <w:rFonts w:ascii="Arial" w:eastAsia="Ebrima" w:hAnsi="Arial" w:cs="Arial"/>
          <w:kern w:val="24"/>
          <w:sz w:val="22"/>
          <w:szCs w:val="22"/>
        </w:rPr>
        <w:t xml:space="preserve">, co 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 xml:space="preserve">w znaczący sposób wyróżnia ich na tle pozostałych badanych branż. 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Osoby z FMCG poczują, że ich zaangażowanie zostało docenione, jeśli otrzymają rabat 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>na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kolejn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>e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zaku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>py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lub konkretną nagrodę rzeczową</w:t>
      </w:r>
      <w:r w:rsidR="006958A6" w:rsidRPr="008A25F8">
        <w:rPr>
          <w:rFonts w:ascii="Arial" w:eastAsia="Ebrima" w:hAnsi="Arial" w:cs="Arial"/>
          <w:kern w:val="24"/>
          <w:sz w:val="22"/>
          <w:szCs w:val="22"/>
        </w:rPr>
        <w:t xml:space="preserve"> czy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kartę przedpłaconą, którą sfinansują wybraną rzecz. </w:t>
      </w:r>
      <w:r w:rsidR="006958A6" w:rsidRPr="008A25F8">
        <w:rPr>
          <w:rFonts w:ascii="Arial" w:eastAsia="Ebrima" w:hAnsi="Arial" w:cs="Arial"/>
          <w:kern w:val="24"/>
          <w:sz w:val="22"/>
          <w:szCs w:val="22"/>
        </w:rPr>
        <w:t xml:space="preserve">Jak nagradzać w OTC? Podobnie jak w branży budowlanej – kartami przedpłaconymi i dając możliwość wyboru nagrody z szerokiego katalogu. </w:t>
      </w:r>
      <w:r w:rsidR="006E52B1" w:rsidRPr="008A25F8">
        <w:rPr>
          <w:rFonts w:ascii="Arial" w:eastAsia="Ebrima" w:hAnsi="Arial" w:cs="Arial"/>
          <w:kern w:val="24"/>
          <w:sz w:val="22"/>
          <w:szCs w:val="22"/>
        </w:rPr>
        <w:br/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 xml:space="preserve">Co motywuje uczestników z </w:t>
      </w:r>
      <w:r w:rsidR="004C4B5C" w:rsidRPr="008A25F8">
        <w:rPr>
          <w:rFonts w:ascii="Arial" w:eastAsia="Ebrima" w:hAnsi="Arial" w:cs="Arial"/>
          <w:kern w:val="24"/>
          <w:sz w:val="22"/>
          <w:szCs w:val="22"/>
        </w:rPr>
        <w:t>branży elektronicznej</w:t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 xml:space="preserve">, RTV i AGD? Bez wątpienia na pierwszym miejscu są rabaty </w:t>
      </w:r>
      <w:r w:rsidR="00AA051D" w:rsidRPr="008A25F8">
        <w:rPr>
          <w:rFonts w:ascii="Arial" w:eastAsia="Ebrima" w:hAnsi="Arial" w:cs="Arial"/>
          <w:kern w:val="24"/>
          <w:sz w:val="22"/>
          <w:szCs w:val="22"/>
        </w:rPr>
        <w:t>na kolejne zakupy</w:t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>.</w:t>
      </w:r>
      <w:r w:rsidR="00B10CEA" w:rsidRPr="008A25F8">
        <w:rPr>
          <w:rFonts w:ascii="Arial" w:eastAsia="Ebrima" w:hAnsi="Arial" w:cs="Arial"/>
          <w:kern w:val="24"/>
          <w:sz w:val="22"/>
          <w:szCs w:val="22"/>
          <w:lang w:val="fr-FR" w:eastAsia="fr-FR"/>
        </w:rPr>
        <w:t xml:space="preserve"> </w:t>
      </w:r>
      <w:r w:rsidR="00B10CEA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Gratyfikacjami pożądanymi przez branżę motoryzacyjną są karty przedpłacone, możliwość wyboru nagrody z szerokiego katalogu</w:t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>”</w:t>
      </w:r>
      <w:r w:rsidR="006E52B1" w:rsidRPr="008A25F8">
        <w:rPr>
          <w:rFonts w:ascii="Arial" w:eastAsia="Ebrima" w:hAnsi="Arial" w:cs="Arial"/>
          <w:kern w:val="24"/>
          <w:sz w:val="22"/>
          <w:szCs w:val="22"/>
        </w:rPr>
        <w:t xml:space="preserve"> – wyjaśnia </w:t>
      </w:r>
      <w:r w:rsidR="0035760C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>Justyna Klimuk</w:t>
      </w:r>
      <w:r w:rsidR="006E52B1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 xml:space="preserve"> </w:t>
      </w:r>
      <w:r w:rsidR="007D654D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br/>
      </w:r>
      <w:r w:rsidR="006E52B1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>z</w:t>
      </w:r>
      <w:r w:rsidR="00E306A8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 xml:space="preserve"> </w:t>
      </w:r>
      <w:r w:rsidR="0035760C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>Sodexo Benefits and Rewards Services Polska.</w:t>
      </w:r>
    </w:p>
    <w:p w14:paraId="5789E684" w14:textId="5836123C" w:rsidR="0009491C" w:rsidRPr="004829BD" w:rsidRDefault="006B2F25" w:rsidP="006E52B1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4829BD">
        <w:rPr>
          <w:rFonts w:ascii="Arial" w:hAnsi="Arial" w:cs="Arial"/>
          <w:noProof/>
        </w:rPr>
        <w:drawing>
          <wp:inline distT="0" distB="0" distL="0" distR="0" wp14:anchorId="15881C06" wp14:editId="38B79763">
            <wp:extent cx="6069330" cy="3063531"/>
            <wp:effectExtent l="0" t="0" r="7620" b="381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74A03F39-3B25-4E08-AF04-E767ACEA71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B21912" w14:textId="35A779A6" w:rsidR="0009491C" w:rsidRPr="00DF32BD" w:rsidRDefault="0009491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829BD">
        <w:rPr>
          <w:rFonts w:ascii="Arial" w:hAnsi="Arial" w:cs="Arial"/>
          <w:sz w:val="22"/>
          <w:szCs w:val="22"/>
          <w:lang w:eastAsia="pl-PL"/>
        </w:rPr>
        <w:t xml:space="preserve">Badanie „Kompas lojalności w B2B. Oczekiwania uczestników a rzeczywistość” zostało zrealizowane </w:t>
      </w:r>
      <w:r w:rsidR="00B10CEA">
        <w:rPr>
          <w:rFonts w:ascii="Arial" w:hAnsi="Arial" w:cs="Arial"/>
          <w:sz w:val="22"/>
          <w:szCs w:val="22"/>
          <w:lang w:eastAsia="pl-PL"/>
        </w:rPr>
        <w:br/>
      </w:r>
      <w:r w:rsidRPr="004829BD">
        <w:rPr>
          <w:rFonts w:ascii="Arial" w:hAnsi="Arial" w:cs="Arial"/>
          <w:sz w:val="22"/>
          <w:szCs w:val="22"/>
          <w:lang w:eastAsia="pl-PL"/>
        </w:rPr>
        <w:t>w 2019 roku przez niezależną agencję badawczą IRCenter</w:t>
      </w:r>
      <w:r w:rsidR="00AA051D">
        <w:rPr>
          <w:rFonts w:ascii="Arial" w:hAnsi="Arial" w:cs="Arial"/>
          <w:sz w:val="22"/>
          <w:szCs w:val="22"/>
          <w:lang w:eastAsia="pl-PL"/>
        </w:rPr>
        <w:t>,</w:t>
      </w:r>
      <w:r w:rsidRPr="004829BD">
        <w:rPr>
          <w:rFonts w:ascii="Arial" w:hAnsi="Arial" w:cs="Arial"/>
          <w:sz w:val="22"/>
          <w:szCs w:val="22"/>
          <w:lang w:eastAsia="pl-PL"/>
        </w:rPr>
        <w:t xml:space="preserve"> na zlecenie Sodexo Benefits and Rewards </w:t>
      </w:r>
      <w:r w:rsidRPr="004829BD">
        <w:rPr>
          <w:rFonts w:ascii="Arial" w:hAnsi="Arial" w:cs="Arial"/>
          <w:sz w:val="22"/>
          <w:szCs w:val="22"/>
          <w:lang w:eastAsia="pl-PL"/>
        </w:rPr>
        <w:lastRenderedPageBreak/>
        <w:t xml:space="preserve">Services Polska. Wzięło w nim udział 300 uczestników programów lojalnościowych z branż FMCG, budowlanej, motoryzacyjnej, elektronicznej oraz OTC. </w:t>
      </w:r>
    </w:p>
    <w:p w14:paraId="0C389EE6" w14:textId="77777777" w:rsidR="0009491C" w:rsidRPr="004829BD" w:rsidRDefault="0009491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C64CDC1" w14:textId="2BF0C2C4" w:rsidR="001C0684" w:rsidRPr="004829BD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829B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829B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829BD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829BD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829BD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829BD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829BD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829BD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829BD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829BD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829BD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>O Sodexo</w:t>
      </w:r>
    </w:p>
    <w:p w14:paraId="33CDD8B3" w14:textId="663346F8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>Grupa Sodexo to światowy lider w zakresie usług i produktów podnoszących jakość życia. Od ponad</w:t>
      </w:r>
      <w:r w:rsidR="00FA2979" w:rsidRPr="004829BD">
        <w:rPr>
          <w:rFonts w:ascii="Arial" w:hAnsi="Arial" w:cs="Arial"/>
          <w:sz w:val="16"/>
          <w:szCs w:val="16"/>
          <w:lang w:val="pl-PL"/>
        </w:rPr>
        <w:t xml:space="preserve"> </w:t>
      </w:r>
      <w:r w:rsidRPr="004829BD">
        <w:rPr>
          <w:rFonts w:ascii="Arial" w:hAnsi="Arial" w:cs="Arial"/>
          <w:sz w:val="16"/>
          <w:szCs w:val="16"/>
          <w:lang w:val="pl-PL"/>
        </w:rPr>
        <w:t>50 lat jest strategicznym partnerem dla firm i instytucji, które kładą nacisk na efektywność, lojalność, zaangażowanie i</w:t>
      </w:r>
      <w:r w:rsidR="00BA6117" w:rsidRPr="004829BD">
        <w:rPr>
          <w:rFonts w:ascii="Arial" w:hAnsi="Arial" w:cs="Arial"/>
          <w:sz w:val="16"/>
          <w:szCs w:val="16"/>
          <w:lang w:val="pl-PL"/>
        </w:rPr>
        <w:t> </w:t>
      </w:r>
      <w:r w:rsidRPr="004829BD">
        <w:rPr>
          <w:rFonts w:ascii="Arial" w:hAnsi="Arial" w:cs="Arial"/>
          <w:sz w:val="16"/>
          <w:szCs w:val="16"/>
          <w:lang w:val="pl-PL"/>
        </w:rPr>
        <w:t>zadowolenie pracowników oraz partnerów biznesowych. Zatrudniając 460 000 pracowników w 72 krajach jest 19. największym pracodawcą na świecie. Sodexo świadczy usługi dla nieruchomości (Sodexo On-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site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 Services) oraz usługi motywacyjne (Sodexo Benefits and Rewards Services), obsługując każdego dnia ponad 100 milionów konsumentów.</w:t>
      </w:r>
    </w:p>
    <w:p w14:paraId="7AFF09D1" w14:textId="77777777" w:rsidR="00361BF5" w:rsidRPr="004829BD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25289003" w14:textId="77777777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 xml:space="preserve">O Sodexo w Polsce </w:t>
      </w:r>
    </w:p>
    <w:p w14:paraId="20298AF3" w14:textId="09A186D5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21 lat, odpowiada za transformację świadczeń pozapłacowych - wspiera firmy </w:t>
      </w:r>
      <w:r w:rsidR="00686696" w:rsidRPr="004829BD">
        <w:rPr>
          <w:rFonts w:ascii="Arial" w:hAnsi="Arial" w:cs="Arial"/>
          <w:sz w:val="16"/>
          <w:szCs w:val="16"/>
          <w:lang w:val="pl-PL"/>
        </w:rPr>
        <w:br/>
      </w:r>
      <w:r w:rsidRPr="004829BD">
        <w:rPr>
          <w:rFonts w:ascii="Arial" w:hAnsi="Arial" w:cs="Arial"/>
          <w:sz w:val="16"/>
          <w:szCs w:val="16"/>
          <w:lang w:val="pl-PL"/>
        </w:rPr>
        <w:t xml:space="preserve">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4829BD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335DA651" w14:textId="62360BA8" w:rsidR="00E34AA0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Superbrands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 oraz nagrodę Złota Jakość Roku, a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Aon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Aon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 Best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Employer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4829BD" w:rsidSect="004723B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6A31" w14:textId="77777777" w:rsidR="00130EAA" w:rsidRDefault="00130EAA" w:rsidP="00383833">
      <w:r>
        <w:separator/>
      </w:r>
    </w:p>
  </w:endnote>
  <w:endnote w:type="continuationSeparator" w:id="0">
    <w:p w14:paraId="008BAA80" w14:textId="77777777" w:rsidR="00130EAA" w:rsidRDefault="00130EAA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4D4F76C2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5C6A80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5C6A80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686696">
      <w:rPr>
        <w:rStyle w:val="Hipercze"/>
        <w:rFonts w:ascii="Arial" w:hAnsi="Arial" w:cs="Arial"/>
        <w:sz w:val="18"/>
        <w:szCs w:val="18"/>
      </w:rPr>
      <w:t>lojalnosc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54A3BCE3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D55303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D55303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567F" w14:textId="77777777" w:rsidR="00130EAA" w:rsidRDefault="00130EAA" w:rsidP="00383833">
      <w:bookmarkStart w:id="0" w:name="_Hlk19026758"/>
      <w:bookmarkEnd w:id="0"/>
      <w:r>
        <w:separator/>
      </w:r>
    </w:p>
  </w:footnote>
  <w:footnote w:type="continuationSeparator" w:id="0">
    <w:p w14:paraId="7B2F367B" w14:textId="77777777" w:rsidR="00130EAA" w:rsidRDefault="00130EAA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4" name="Obraz 2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307A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CF2"/>
    <w:rsid w:val="0003177F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08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91C"/>
    <w:rsid w:val="00094F1E"/>
    <w:rsid w:val="000968E7"/>
    <w:rsid w:val="000A0D17"/>
    <w:rsid w:val="000A3F9A"/>
    <w:rsid w:val="000A4BAF"/>
    <w:rsid w:val="000A55E8"/>
    <w:rsid w:val="000A7994"/>
    <w:rsid w:val="000A7F70"/>
    <w:rsid w:val="000B0949"/>
    <w:rsid w:val="000B1654"/>
    <w:rsid w:val="000B2ED9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6C41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0EAA"/>
    <w:rsid w:val="00131BB0"/>
    <w:rsid w:val="001332A8"/>
    <w:rsid w:val="001336D9"/>
    <w:rsid w:val="00134EBD"/>
    <w:rsid w:val="001367AC"/>
    <w:rsid w:val="001367D9"/>
    <w:rsid w:val="0013696B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3A9F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A706D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37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839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3061"/>
    <w:rsid w:val="00295C97"/>
    <w:rsid w:val="00295D6A"/>
    <w:rsid w:val="002A0D5A"/>
    <w:rsid w:val="002A0D63"/>
    <w:rsid w:val="002A14C3"/>
    <w:rsid w:val="002A260A"/>
    <w:rsid w:val="002A29FE"/>
    <w:rsid w:val="002A4AD2"/>
    <w:rsid w:val="002A523D"/>
    <w:rsid w:val="002A5D8D"/>
    <w:rsid w:val="002A6CF7"/>
    <w:rsid w:val="002A7F26"/>
    <w:rsid w:val="002B0B60"/>
    <w:rsid w:val="002B1302"/>
    <w:rsid w:val="002B1496"/>
    <w:rsid w:val="002B1892"/>
    <w:rsid w:val="002B52FB"/>
    <w:rsid w:val="002B5347"/>
    <w:rsid w:val="002B53BB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01D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81E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7BF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53F"/>
    <w:rsid w:val="0035760C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1A7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5F29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4F0A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487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62F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29BD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5EC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4316"/>
    <w:rsid w:val="004C4B5C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347B"/>
    <w:rsid w:val="00504551"/>
    <w:rsid w:val="00504F9C"/>
    <w:rsid w:val="00505E1E"/>
    <w:rsid w:val="0050664C"/>
    <w:rsid w:val="00506687"/>
    <w:rsid w:val="00507E34"/>
    <w:rsid w:val="00507E71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5B09"/>
    <w:rsid w:val="005462FE"/>
    <w:rsid w:val="00546AFF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CBA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0B2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3E"/>
    <w:rsid w:val="005C6364"/>
    <w:rsid w:val="005C6A80"/>
    <w:rsid w:val="005C6F72"/>
    <w:rsid w:val="005C733B"/>
    <w:rsid w:val="005C77FF"/>
    <w:rsid w:val="005D012B"/>
    <w:rsid w:val="005D1093"/>
    <w:rsid w:val="005D1E24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AB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17D2"/>
    <w:rsid w:val="006838B2"/>
    <w:rsid w:val="006839AE"/>
    <w:rsid w:val="00683CE7"/>
    <w:rsid w:val="00683D29"/>
    <w:rsid w:val="00684145"/>
    <w:rsid w:val="00684DE8"/>
    <w:rsid w:val="006855E2"/>
    <w:rsid w:val="006857AE"/>
    <w:rsid w:val="00686696"/>
    <w:rsid w:val="00686867"/>
    <w:rsid w:val="0068752D"/>
    <w:rsid w:val="00687C8D"/>
    <w:rsid w:val="006904FA"/>
    <w:rsid w:val="0069196D"/>
    <w:rsid w:val="00691B74"/>
    <w:rsid w:val="00692BB7"/>
    <w:rsid w:val="00693279"/>
    <w:rsid w:val="006933E5"/>
    <w:rsid w:val="00693631"/>
    <w:rsid w:val="00693839"/>
    <w:rsid w:val="00693FEF"/>
    <w:rsid w:val="00694672"/>
    <w:rsid w:val="006958A6"/>
    <w:rsid w:val="006965D9"/>
    <w:rsid w:val="00696C47"/>
    <w:rsid w:val="006978CF"/>
    <w:rsid w:val="006A0A19"/>
    <w:rsid w:val="006A2EEA"/>
    <w:rsid w:val="006A3094"/>
    <w:rsid w:val="006A36D0"/>
    <w:rsid w:val="006A5B6B"/>
    <w:rsid w:val="006A658D"/>
    <w:rsid w:val="006A7E02"/>
    <w:rsid w:val="006B07F0"/>
    <w:rsid w:val="006B08BB"/>
    <w:rsid w:val="006B1481"/>
    <w:rsid w:val="006B1B67"/>
    <w:rsid w:val="006B2F25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52B1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6A8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0CEB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1A72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6B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654D"/>
    <w:rsid w:val="007D7AD0"/>
    <w:rsid w:val="007D7BD1"/>
    <w:rsid w:val="007E0570"/>
    <w:rsid w:val="007E0BA8"/>
    <w:rsid w:val="007E31E2"/>
    <w:rsid w:val="007E464A"/>
    <w:rsid w:val="007E5893"/>
    <w:rsid w:val="007E5BD3"/>
    <w:rsid w:val="007E5FB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07A96"/>
    <w:rsid w:val="00810B04"/>
    <w:rsid w:val="00811205"/>
    <w:rsid w:val="00812465"/>
    <w:rsid w:val="00812695"/>
    <w:rsid w:val="008129AE"/>
    <w:rsid w:val="00813EAC"/>
    <w:rsid w:val="008156CC"/>
    <w:rsid w:val="0081601A"/>
    <w:rsid w:val="00817535"/>
    <w:rsid w:val="00817CD6"/>
    <w:rsid w:val="00817D5A"/>
    <w:rsid w:val="00817D97"/>
    <w:rsid w:val="008212BB"/>
    <w:rsid w:val="00821AA9"/>
    <w:rsid w:val="00821F62"/>
    <w:rsid w:val="00826945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5BA1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22E"/>
    <w:rsid w:val="008545F5"/>
    <w:rsid w:val="008546E1"/>
    <w:rsid w:val="00854B34"/>
    <w:rsid w:val="00855872"/>
    <w:rsid w:val="008559B9"/>
    <w:rsid w:val="008562EC"/>
    <w:rsid w:val="0085698F"/>
    <w:rsid w:val="00856ED3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1C7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8F7"/>
    <w:rsid w:val="008A1E19"/>
    <w:rsid w:val="008A205A"/>
    <w:rsid w:val="008A25F8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2566"/>
    <w:rsid w:val="008B3AD1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1159"/>
    <w:rsid w:val="008D2253"/>
    <w:rsid w:val="008D443B"/>
    <w:rsid w:val="008D46C5"/>
    <w:rsid w:val="008D53C3"/>
    <w:rsid w:val="008D587C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26B"/>
    <w:rsid w:val="008E4485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1CFF"/>
    <w:rsid w:val="009122A0"/>
    <w:rsid w:val="0091253E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365"/>
    <w:rsid w:val="009A4C35"/>
    <w:rsid w:val="009A4C36"/>
    <w:rsid w:val="009A5289"/>
    <w:rsid w:val="009A5CDD"/>
    <w:rsid w:val="009A5F5E"/>
    <w:rsid w:val="009A6D68"/>
    <w:rsid w:val="009A7938"/>
    <w:rsid w:val="009A7D6C"/>
    <w:rsid w:val="009B0365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6DD"/>
    <w:rsid w:val="009B79B3"/>
    <w:rsid w:val="009C0295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30FD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16EB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5B19"/>
    <w:rsid w:val="00A85FCF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051D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08F7"/>
    <w:rsid w:val="00AC1766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6DEE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4CDC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0CEA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830"/>
    <w:rsid w:val="00B67C20"/>
    <w:rsid w:val="00B67CEE"/>
    <w:rsid w:val="00B70D88"/>
    <w:rsid w:val="00B718CD"/>
    <w:rsid w:val="00B73966"/>
    <w:rsid w:val="00B743A8"/>
    <w:rsid w:val="00B74C18"/>
    <w:rsid w:val="00B7508D"/>
    <w:rsid w:val="00B7580C"/>
    <w:rsid w:val="00B759E7"/>
    <w:rsid w:val="00B75F12"/>
    <w:rsid w:val="00B77685"/>
    <w:rsid w:val="00B77B56"/>
    <w:rsid w:val="00B83860"/>
    <w:rsid w:val="00B8393C"/>
    <w:rsid w:val="00B83D08"/>
    <w:rsid w:val="00B83D7F"/>
    <w:rsid w:val="00B844BE"/>
    <w:rsid w:val="00B849C9"/>
    <w:rsid w:val="00B84AA3"/>
    <w:rsid w:val="00B850A7"/>
    <w:rsid w:val="00B858AD"/>
    <w:rsid w:val="00B86082"/>
    <w:rsid w:val="00B866A3"/>
    <w:rsid w:val="00B875F1"/>
    <w:rsid w:val="00B91799"/>
    <w:rsid w:val="00B91890"/>
    <w:rsid w:val="00B91D03"/>
    <w:rsid w:val="00B92A58"/>
    <w:rsid w:val="00B93911"/>
    <w:rsid w:val="00B93E12"/>
    <w:rsid w:val="00B94A5C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117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3FE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A04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A3B"/>
    <w:rsid w:val="00CA3062"/>
    <w:rsid w:val="00CA36E5"/>
    <w:rsid w:val="00CA3EAF"/>
    <w:rsid w:val="00CA50A0"/>
    <w:rsid w:val="00CA5E4F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1F23"/>
    <w:rsid w:val="00CC3F9C"/>
    <w:rsid w:val="00CC41FA"/>
    <w:rsid w:val="00CC5542"/>
    <w:rsid w:val="00CC5B58"/>
    <w:rsid w:val="00CC5B85"/>
    <w:rsid w:val="00CC75FA"/>
    <w:rsid w:val="00CD0314"/>
    <w:rsid w:val="00CD04EF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B60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299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51B0"/>
    <w:rsid w:val="00D4676E"/>
    <w:rsid w:val="00D46A21"/>
    <w:rsid w:val="00D46E21"/>
    <w:rsid w:val="00D472F0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55303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A81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8A1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2B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2B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1455"/>
    <w:rsid w:val="00E2213B"/>
    <w:rsid w:val="00E235F0"/>
    <w:rsid w:val="00E25ED7"/>
    <w:rsid w:val="00E26537"/>
    <w:rsid w:val="00E26F74"/>
    <w:rsid w:val="00E30592"/>
    <w:rsid w:val="00E306A8"/>
    <w:rsid w:val="00E326ED"/>
    <w:rsid w:val="00E3285B"/>
    <w:rsid w:val="00E32C48"/>
    <w:rsid w:val="00E338C6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D7"/>
    <w:rsid w:val="00E45656"/>
    <w:rsid w:val="00E45BE9"/>
    <w:rsid w:val="00E47129"/>
    <w:rsid w:val="00E503B1"/>
    <w:rsid w:val="00E5074F"/>
    <w:rsid w:val="00E5307F"/>
    <w:rsid w:val="00E5530B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2C4"/>
    <w:rsid w:val="00E8237B"/>
    <w:rsid w:val="00E82581"/>
    <w:rsid w:val="00E82799"/>
    <w:rsid w:val="00E82DBD"/>
    <w:rsid w:val="00E846BD"/>
    <w:rsid w:val="00E84A7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92C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2E7F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316"/>
    <w:rsid w:val="00ED5CAA"/>
    <w:rsid w:val="00ED664C"/>
    <w:rsid w:val="00ED684E"/>
    <w:rsid w:val="00ED6911"/>
    <w:rsid w:val="00ED6B11"/>
    <w:rsid w:val="00ED6B9F"/>
    <w:rsid w:val="00ED7335"/>
    <w:rsid w:val="00EE0277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5B2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6AC2"/>
    <w:rsid w:val="00F272B5"/>
    <w:rsid w:val="00F274EE"/>
    <w:rsid w:val="00F276B0"/>
    <w:rsid w:val="00F2776A"/>
    <w:rsid w:val="00F277AB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5BB9"/>
    <w:rsid w:val="00F561D4"/>
    <w:rsid w:val="00F5622A"/>
    <w:rsid w:val="00F56741"/>
    <w:rsid w:val="00F60C7C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2979"/>
    <w:rsid w:val="00FA3FDD"/>
    <w:rsid w:val="00FA4BA5"/>
    <w:rsid w:val="00FA5247"/>
    <w:rsid w:val="00FA5970"/>
    <w:rsid w:val="00FA5BF4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EB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yta\Desktop\Sodexo_nagrod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Mechanizmy przyznawania nagród w B2B</a:t>
            </a:r>
            <a:br>
              <a:rPr lang="pl-PL"/>
            </a:br>
            <a:r>
              <a:rPr lang="pl-PL" sz="1000"/>
              <a:t>Badanie Sodexo: Kompas lojalności w B2B. Oczekiwania a rzeczywistość</a:t>
            </a:r>
            <a:br>
              <a:rPr lang="pl-PL" sz="1000"/>
            </a:br>
            <a:r>
              <a:rPr lang="pl-PL" sz="1000"/>
              <a:t> Total N:300, dane</a:t>
            </a:r>
            <a:r>
              <a:rPr lang="pl-PL" sz="1000" baseline="0"/>
              <a:t> %</a:t>
            </a:r>
            <a:endParaRPr lang="pl-PL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Pożądany mechanizm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Arkusz1!$C$3:$C$6</c:f>
              <c:strCache>
                <c:ptCount val="4"/>
                <c:pt idx="0">
                  <c:v>Nagroda wprost proporcjonalna do wielkości transakcji, np. 1zł=1pkt.</c:v>
                </c:pt>
                <c:pt idx="1">
                  <c:v>Nagrodę za sprzedaż konkretnego produktu, marki, bądź usługi</c:v>
                </c:pt>
                <c:pt idx="2">
                  <c:v>Nagradzanie za ekspozycję w punktach sprzedaży</c:v>
                </c:pt>
                <c:pt idx="3">
                  <c:v>Nagroda za regularność transakcji, np. 3 transakcje dziennie lub w ciągu</c:v>
                </c:pt>
              </c:strCache>
            </c:strRef>
          </c:cat>
          <c:val>
            <c:numRef>
              <c:f>Arkusz1!$D$3:$D$6</c:f>
              <c:numCache>
                <c:formatCode>General</c:formatCode>
                <c:ptCount val="4"/>
                <c:pt idx="0">
                  <c:v>54</c:v>
                </c:pt>
                <c:pt idx="1">
                  <c:v>11</c:v>
                </c:pt>
                <c:pt idx="2">
                  <c:v>0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5-4E21-84D3-8B67CA68EDFB}"/>
            </c:ext>
          </c:extLst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Wykorzystany mechanizm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Arkusz1!$C$3:$C$6</c:f>
              <c:strCache>
                <c:ptCount val="4"/>
                <c:pt idx="0">
                  <c:v>Nagroda wprost proporcjonalna do wielkości transakcji, np. 1zł=1pkt.</c:v>
                </c:pt>
                <c:pt idx="1">
                  <c:v>Nagrodę za sprzedaż konkretnego produktu, marki, bądź usługi</c:v>
                </c:pt>
                <c:pt idx="2">
                  <c:v>Nagradzanie za ekspozycję w punktach sprzedaży</c:v>
                </c:pt>
                <c:pt idx="3">
                  <c:v>Nagroda za regularność transakcji, np. 3 transakcje dziennie lub w ciągu</c:v>
                </c:pt>
              </c:strCache>
            </c:strRef>
          </c:cat>
          <c:val>
            <c:numRef>
              <c:f>Arkusz1!$E$3:$E$6</c:f>
              <c:numCache>
                <c:formatCode>General</c:formatCode>
                <c:ptCount val="4"/>
                <c:pt idx="0">
                  <c:v>56</c:v>
                </c:pt>
                <c:pt idx="1">
                  <c:v>52</c:v>
                </c:pt>
                <c:pt idx="2">
                  <c:v>38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5-4E21-84D3-8B67CA68ED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9904504"/>
        <c:axId val="439904832"/>
      </c:barChart>
      <c:catAx>
        <c:axId val="439904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04832"/>
        <c:crosses val="autoZero"/>
        <c:auto val="1"/>
        <c:lblAlgn val="ctr"/>
        <c:lblOffset val="100"/>
        <c:noMultiLvlLbl val="0"/>
      </c:catAx>
      <c:valAx>
        <c:axId val="439904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0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Nagrody, których oczekują uczestnicy programów w B2B</a:t>
            </a:r>
          </a:p>
          <a:p>
            <a:pPr>
              <a:defRPr/>
            </a:pPr>
            <a:r>
              <a:rPr lang="pl-PL" sz="1050"/>
              <a:t>Badanie Sodexo: Kompas lojalności w B2B. Oczekiwania a rzeczywistoś</a:t>
            </a:r>
            <a:br>
              <a:rPr lang="pl-PL" sz="1050"/>
            </a:br>
            <a:r>
              <a:rPr lang="pl-PL" sz="1050"/>
              <a:t> </a:t>
            </a:r>
            <a:r>
              <a:rPr lang="pl-PL" sz="1000"/>
              <a:t>Total N:300,</a:t>
            </a:r>
            <a:r>
              <a:rPr lang="pl-PL" sz="1000" baseline="0"/>
              <a:t> dane %</a:t>
            </a:r>
            <a:endParaRPr lang="pl-PL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Arkusz1!$D$28</c:f>
              <c:strCache>
                <c:ptCount val="1"/>
                <c:pt idx="0">
                  <c:v>Budowlana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Arkusz1!$D$29:$D$33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66</c:v>
                </c:pt>
                <c:pt idx="3">
                  <c:v>34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D-4DAD-B37B-6DB36E840A30}"/>
            </c:ext>
          </c:extLst>
        </c:ser>
        <c:ser>
          <c:idx val="1"/>
          <c:order val="1"/>
          <c:tx>
            <c:strRef>
              <c:f>Arkusz1!$E$28</c:f>
              <c:strCache>
                <c:ptCount val="1"/>
                <c:pt idx="0">
                  <c:v>FMCG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Arkusz1!$E$29:$E$33</c:f>
              <c:numCache>
                <c:formatCode>General</c:formatCode>
                <c:ptCount val="5"/>
                <c:pt idx="0">
                  <c:v>44</c:v>
                </c:pt>
                <c:pt idx="1">
                  <c:v>33</c:v>
                </c:pt>
                <c:pt idx="2">
                  <c:v>45</c:v>
                </c:pt>
                <c:pt idx="3">
                  <c:v>51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D-4DAD-B37B-6DB36E840A30}"/>
            </c:ext>
          </c:extLst>
        </c:ser>
        <c:ser>
          <c:idx val="2"/>
          <c:order val="2"/>
          <c:tx>
            <c:strRef>
              <c:f>Arkusz1!$F$28</c:f>
              <c:strCache>
                <c:ptCount val="1"/>
                <c:pt idx="0">
                  <c:v>Motoryzacja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Arkusz1!$F$29:$F$33</c:f>
              <c:numCache>
                <c:formatCode>General</c:formatCode>
                <c:ptCount val="5"/>
                <c:pt idx="0">
                  <c:v>60</c:v>
                </c:pt>
                <c:pt idx="1">
                  <c:v>40</c:v>
                </c:pt>
                <c:pt idx="2">
                  <c:v>36</c:v>
                </c:pt>
                <c:pt idx="3">
                  <c:v>36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D-4DAD-B37B-6DB36E840A30}"/>
            </c:ext>
          </c:extLst>
        </c:ser>
        <c:ser>
          <c:idx val="3"/>
          <c:order val="3"/>
          <c:tx>
            <c:strRef>
              <c:f>Arkusz1!$G$28</c:f>
              <c:strCache>
                <c:ptCount val="1"/>
                <c:pt idx="0">
                  <c:v>Elektronika, RTV i AGD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Arkusz1!$G$29:$G$33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40</c:v>
                </c:pt>
                <c:pt idx="3">
                  <c:v>80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4D-4DAD-B37B-6DB36E840A30}"/>
            </c:ext>
          </c:extLst>
        </c:ser>
        <c:ser>
          <c:idx val="4"/>
          <c:order val="4"/>
          <c:tx>
            <c:strRef>
              <c:f>Arkusz1!$H$28</c:f>
              <c:strCache>
                <c:ptCount val="1"/>
                <c:pt idx="0">
                  <c:v>OTC 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Arkusz1!$H$29:$H$33</c:f>
              <c:numCache>
                <c:formatCode>General</c:formatCode>
                <c:ptCount val="5"/>
                <c:pt idx="0">
                  <c:v>56</c:v>
                </c:pt>
                <c:pt idx="1">
                  <c:v>56</c:v>
                </c:pt>
                <c:pt idx="2">
                  <c:v>36</c:v>
                </c:pt>
                <c:pt idx="3">
                  <c:v>0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4D-4DAD-B37B-6DB36E840A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00501632"/>
        <c:axId val="500500648"/>
      </c:barChart>
      <c:catAx>
        <c:axId val="50050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0500648"/>
        <c:crosses val="autoZero"/>
        <c:auto val="1"/>
        <c:lblAlgn val="ctr"/>
        <c:lblOffset val="100"/>
        <c:noMultiLvlLbl val="0"/>
      </c:catAx>
      <c:valAx>
        <c:axId val="500500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050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7" ma:contentTypeDescription="Create a new document." ma:contentTypeScope="" ma:versionID="f091bd73f6eff6205166ab089b682b9e">
  <xsd:schema xmlns:xsd="http://www.w3.org/2001/XMLSchema" xmlns:xs="http://www.w3.org/2001/XMLSchema" xmlns:p="http://schemas.microsoft.com/office/2006/metadata/properties" xmlns:ns3="a501e70b-bb6e-4472-9091-4be1eacca91f" targetNamespace="http://schemas.microsoft.com/office/2006/metadata/properties" ma:root="true" ma:fieldsID="7125c85f8f56a254b04f15a73a71d8aa" ns3:_="">
    <xsd:import namespace="a501e70b-bb6e-4472-9091-4be1eacca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441024-DC59-40CC-80D4-89BF46127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D00A7-22EB-4744-B456-D11D7382C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7092F-075E-4620-A86A-6184F6A4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1C765-9EE2-4A73-9F29-344E6C94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2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2</cp:revision>
  <cp:lastPrinted>2019-07-25T10:36:00Z</cp:lastPrinted>
  <dcterms:created xsi:type="dcterms:W3CDTF">2020-02-24T12:36:00Z</dcterms:created>
  <dcterms:modified xsi:type="dcterms:W3CDTF">2020-02-24T12:36:00Z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