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BA6" w:rsidRDefault="00830BA6" w:rsidP="00FB7E5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Sektor </w:t>
      </w:r>
      <w:proofErr w:type="spellStart"/>
      <w:r w:rsidRPr="00830BA6">
        <w:rPr>
          <w:b/>
          <w:sz w:val="32"/>
          <w:szCs w:val="32"/>
        </w:rPr>
        <w:t>Private</w:t>
      </w:r>
      <w:proofErr w:type="spellEnd"/>
      <w:r w:rsidRPr="00830BA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 w:rsidRPr="00830BA6">
        <w:rPr>
          <w:b/>
          <w:sz w:val="32"/>
          <w:szCs w:val="32"/>
        </w:rPr>
        <w:t>anking</w:t>
      </w:r>
      <w:r>
        <w:rPr>
          <w:b/>
          <w:sz w:val="32"/>
          <w:szCs w:val="32"/>
        </w:rPr>
        <w:t xml:space="preserve"> musi uważać na zmiany w otoczeniu demograficznym</w:t>
      </w:r>
    </w:p>
    <w:p w:rsidR="000D7123" w:rsidRPr="0061589D" w:rsidRDefault="0061589D" w:rsidP="00FB7E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Autor: Bartosz Tomczyk – Przewodniczący Rady Nadzorczej polskiego fintechu Provema</w:t>
      </w:r>
    </w:p>
    <w:p w:rsidR="000D7123" w:rsidRPr="000D7123" w:rsidRDefault="000D7123" w:rsidP="00FB7E53">
      <w:pPr>
        <w:spacing w:line="360" w:lineRule="auto"/>
        <w:jc w:val="both"/>
        <w:rPr>
          <w:b/>
          <w:i/>
        </w:rPr>
      </w:pPr>
      <w:r w:rsidRPr="000D7123">
        <w:rPr>
          <w:b/>
          <w:i/>
        </w:rPr>
        <w:t>Bez wątpienia sektor bankowości prywatnej wchodzi w dekadę transformacji cyfrowej i generacyjnej. Najbardziej zamożni klienci będą oczekiwać od swoich banków ochrony przed rosnącym ryzykiem. Sukces w tym zakresie gwarantuje osiągnięcie długookresowej przewagi konkurencyjnej.</w:t>
      </w:r>
    </w:p>
    <w:p w:rsidR="00830BA6" w:rsidRDefault="00830BA6" w:rsidP="00FB7E53">
      <w:pPr>
        <w:spacing w:line="360" w:lineRule="auto"/>
        <w:jc w:val="both"/>
      </w:pPr>
    </w:p>
    <w:p w:rsidR="0096348D" w:rsidRDefault="0096348D" w:rsidP="00FB7E53">
      <w:pPr>
        <w:spacing w:line="360" w:lineRule="auto"/>
        <w:jc w:val="both"/>
      </w:pPr>
      <w:r>
        <w:t>Klient</w:t>
      </w:r>
      <w:r w:rsidR="00D231F4">
        <w:t>ów</w:t>
      </w:r>
      <w:r>
        <w:t xml:space="preserve"> sektora </w:t>
      </w:r>
      <w:proofErr w:type="spellStart"/>
      <w:r>
        <w:t>private</w:t>
      </w:r>
      <w:proofErr w:type="spellEnd"/>
      <w:r>
        <w:t xml:space="preserve"> banking</w:t>
      </w:r>
      <w:r w:rsidR="00D231F4">
        <w:t xml:space="preserve"> t</w:t>
      </w:r>
      <w:r w:rsidR="00FB55E7">
        <w:t xml:space="preserve">radycyjnie określa się go jako </w:t>
      </w:r>
      <w:r w:rsidR="009C2A4A">
        <w:t>„</w:t>
      </w:r>
      <w:r w:rsidR="00FB55E7">
        <w:t>High-Net-</w:t>
      </w:r>
      <w:proofErr w:type="spellStart"/>
      <w:r w:rsidR="00FB55E7">
        <w:t>Worth</w:t>
      </w:r>
      <w:proofErr w:type="spellEnd"/>
      <w:r w:rsidR="00FB55E7">
        <w:t xml:space="preserve"> </w:t>
      </w:r>
      <w:proofErr w:type="spellStart"/>
      <w:r w:rsidR="00FB55E7">
        <w:t>Individual</w:t>
      </w:r>
      <w:r w:rsidR="00830BA6">
        <w:t>s</w:t>
      </w:r>
      <w:proofErr w:type="spellEnd"/>
      <w:r w:rsidR="009C2A4A">
        <w:t>”, w skrócie HNWI, co można</w:t>
      </w:r>
      <w:r w:rsidR="001E640A">
        <w:t xml:space="preserve"> </w:t>
      </w:r>
      <w:r w:rsidR="009C2A4A">
        <w:t>prze</w:t>
      </w:r>
      <w:r w:rsidR="00B71DA3">
        <w:t>tłumaczyć jako „jednostk</w:t>
      </w:r>
      <w:r w:rsidR="00830BA6">
        <w:t>i</w:t>
      </w:r>
      <w:r w:rsidR="00B71DA3">
        <w:t xml:space="preserve"> o wysokim majątku”</w:t>
      </w:r>
      <w:r w:rsidR="00FB55E7">
        <w:t>.</w:t>
      </w:r>
      <w:r w:rsidR="00B71DA3">
        <w:t xml:space="preserve"> W praktyce, aby zostać zaliczonym do tej kategorii należy posiadać płynne aktywa o wartości minimum 1 miliona dolarów.</w:t>
      </w:r>
      <w:r w:rsidR="00FB55E7">
        <w:t xml:space="preserve"> Jednak każdy, kto miał choć trochę do czynienia z</w:t>
      </w:r>
      <w:r w:rsidR="00B71DA3">
        <w:t xml:space="preserve"> prawdziwą</w:t>
      </w:r>
      <w:r w:rsidR="00FB55E7">
        <w:t xml:space="preserve"> bankowością prywatną doskonale</w:t>
      </w:r>
      <w:r w:rsidR="00B71DA3">
        <w:t xml:space="preserve"> wie, że w tej branży klientami</w:t>
      </w:r>
      <w:r w:rsidR="000F1B89">
        <w:t xml:space="preserve"> </w:t>
      </w:r>
      <w:r w:rsidR="00B71DA3">
        <w:t xml:space="preserve">nie są jednostki. </w:t>
      </w:r>
      <w:r w:rsidR="00D231F4">
        <w:t>S</w:t>
      </w:r>
      <w:r w:rsidR="00B71DA3">
        <w:t>ą</w:t>
      </w:r>
      <w:r w:rsidR="00D231F4">
        <w:t xml:space="preserve"> nimi</w:t>
      </w:r>
      <w:r w:rsidR="009C2A4A">
        <w:t xml:space="preserve"> najczęściej</w:t>
      </w:r>
      <w:r w:rsidR="00B71DA3">
        <w:t xml:space="preserve"> rodziny. I</w:t>
      </w:r>
      <w:r w:rsidR="00D231F4">
        <w:t xml:space="preserve"> nie jest to nic nowego. Już p</w:t>
      </w:r>
      <w:r w:rsidR="00B71DA3">
        <w:t>ierwsze banki, które powsta</w:t>
      </w:r>
      <w:r w:rsidR="00D231F4">
        <w:t>wały od XIV wieku</w:t>
      </w:r>
      <w:r w:rsidR="00B71DA3">
        <w:t xml:space="preserve"> w</w:t>
      </w:r>
      <w:r w:rsidR="00D231F4">
        <w:t xml:space="preserve"> północnych Włoszech,</w:t>
      </w:r>
      <w:r w:rsidR="00B71DA3">
        <w:t xml:space="preserve"> istniały po </w:t>
      </w:r>
      <w:r w:rsidR="00FB7E53">
        <w:t>to,</w:t>
      </w:r>
      <w:r w:rsidR="00B71DA3">
        <w:t xml:space="preserve"> aby obsługiwać zamożn</w:t>
      </w:r>
      <w:r w:rsidR="001E640A">
        <w:t>e</w:t>
      </w:r>
      <w:r w:rsidR="00B71DA3">
        <w:t xml:space="preserve"> rodziny. Pomijając przepaść cywilizacyjn</w:t>
      </w:r>
      <w:r w:rsidR="000F1B89">
        <w:t>ą</w:t>
      </w:r>
      <w:r w:rsidR="00B71DA3">
        <w:t xml:space="preserve"> i technologiczn</w:t>
      </w:r>
      <w:r w:rsidR="001E640A">
        <w:t>ą,</w:t>
      </w:r>
      <w:r w:rsidR="00D231F4">
        <w:t xml:space="preserve"> jaka nas dzieli od okresu wczesnego renesansu,</w:t>
      </w:r>
      <w:r w:rsidR="00B71DA3">
        <w:t xml:space="preserve"> </w:t>
      </w:r>
      <w:r w:rsidR="00D231F4">
        <w:t>pierwsze banki świata działały tak</w:t>
      </w:r>
      <w:r w:rsidR="00B71DA3">
        <w:t xml:space="preserve"> jak dzisiejszy sektor </w:t>
      </w:r>
      <w:proofErr w:type="spellStart"/>
      <w:r w:rsidR="00B71DA3">
        <w:t>private</w:t>
      </w:r>
      <w:proofErr w:type="spellEnd"/>
      <w:r w:rsidR="00B71DA3">
        <w:t xml:space="preserve"> </w:t>
      </w:r>
      <w:r w:rsidR="001E640A">
        <w:t>b</w:t>
      </w:r>
      <w:r w:rsidR="00B71DA3">
        <w:t>anking.</w:t>
      </w:r>
      <w:r w:rsidR="00FB55E7">
        <w:t xml:space="preserve"> </w:t>
      </w:r>
      <w:r>
        <w:t xml:space="preserve"> </w:t>
      </w:r>
    </w:p>
    <w:p w:rsidR="00BF79BB" w:rsidRDefault="00BF79BB" w:rsidP="00FB7E53">
      <w:pPr>
        <w:spacing w:line="360" w:lineRule="auto"/>
        <w:jc w:val="both"/>
      </w:pPr>
    </w:p>
    <w:p w:rsidR="006F61EB" w:rsidRDefault="009C2A4A" w:rsidP="00FB7E53">
      <w:pPr>
        <w:spacing w:line="360" w:lineRule="auto"/>
        <w:jc w:val="both"/>
      </w:pPr>
      <w:r>
        <w:t>Oznacza to, że stworzenie skutecznej strategii marketingowej dla przedsiębiorstwa z</w:t>
      </w:r>
      <w:r w:rsidR="0098095A">
        <w:t xml:space="preserve"> sektora </w:t>
      </w:r>
      <w:proofErr w:type="spellStart"/>
      <w:r w:rsidR="0098095A">
        <w:t>private</w:t>
      </w:r>
      <w:proofErr w:type="spellEnd"/>
      <w:r w:rsidR="0098095A">
        <w:t xml:space="preserve"> banking</w:t>
      </w:r>
      <w:r>
        <w:t xml:space="preserve"> wymaga </w:t>
      </w:r>
      <w:r w:rsidR="0098095A">
        <w:t>pilne</w:t>
      </w:r>
      <w:r>
        <w:t>go śledzenia</w:t>
      </w:r>
      <w:r w:rsidR="0098095A">
        <w:t xml:space="preserve"> dan</w:t>
      </w:r>
      <w:r>
        <w:t>ych</w:t>
      </w:r>
      <w:r w:rsidR="0098095A">
        <w:t xml:space="preserve"> demograficzn</w:t>
      </w:r>
      <w:r>
        <w:t>ych.</w:t>
      </w:r>
      <w:r w:rsidR="006F61EB">
        <w:t xml:space="preserve"> A niektóre trendy, jakie można zauważyć</w:t>
      </w:r>
      <w:r>
        <w:t xml:space="preserve"> w danych demograficznych</w:t>
      </w:r>
      <w:r w:rsidR="006F61EB">
        <w:t xml:space="preserve"> w ostatnich latach powinny dać menedżerom wiele do myślenia.</w:t>
      </w:r>
    </w:p>
    <w:p w:rsidR="006F61EB" w:rsidRDefault="006F61EB" w:rsidP="00FB7E53">
      <w:pPr>
        <w:spacing w:line="360" w:lineRule="auto"/>
        <w:jc w:val="both"/>
      </w:pPr>
    </w:p>
    <w:p w:rsidR="006F61EB" w:rsidRDefault="006F61EB" w:rsidP="00FB7E53">
      <w:pPr>
        <w:spacing w:line="360" w:lineRule="auto"/>
        <w:jc w:val="both"/>
      </w:pPr>
      <w:r>
        <w:t xml:space="preserve">Prawdopodobnie najważniejsze obecnie zjawisko demograficzne </w:t>
      </w:r>
      <w:r w:rsidR="009C2A4A">
        <w:t>to wydłużająca się średnia długość życia klientów</w:t>
      </w:r>
      <w:r w:rsidR="00030DCC">
        <w:t>.</w:t>
      </w:r>
      <w:r w:rsidR="001E640A">
        <w:t xml:space="preserve"> </w:t>
      </w:r>
      <w:r w:rsidR="009C2A4A">
        <w:t xml:space="preserve">Dzięki postępowi medycyny i technologii, </w:t>
      </w:r>
      <w:r>
        <w:t>coraz częściej</w:t>
      </w:r>
      <w:r w:rsidR="001E640A">
        <w:t xml:space="preserve"> tworzą się wielopokoleniowe, aktywne biznesowo rodziny.</w:t>
      </w:r>
      <w:r w:rsidR="00FB55E7">
        <w:t xml:space="preserve"> </w:t>
      </w:r>
      <w:r w:rsidR="00EE0352">
        <w:t>Oferowane produkty bankowe muszą jednocześnie odpowiadać na potrzeby urodzonych po II Wojnie Światowej baby-</w:t>
      </w:r>
      <w:proofErr w:type="spellStart"/>
      <w:r w:rsidR="00EE0352">
        <w:t>boomersów</w:t>
      </w:r>
      <w:proofErr w:type="spellEnd"/>
      <w:r w:rsidR="00EE0352">
        <w:t xml:space="preserve">, pokolenia X i </w:t>
      </w:r>
      <w:proofErr w:type="spellStart"/>
      <w:r w:rsidR="00EE0352">
        <w:t>milenialsów</w:t>
      </w:r>
      <w:proofErr w:type="spellEnd"/>
      <w:r w:rsidR="00EE0352">
        <w:t xml:space="preserve">. Obsługa trzech lub nawet czterech pokoleń jednocześnie wymaga to nie tylko wydłużenia horyzontu czasowego dla produktów </w:t>
      </w:r>
      <w:r w:rsidR="00FB7E53">
        <w:t>inwestycyjnych,</w:t>
      </w:r>
      <w:r w:rsidR="00EE0352">
        <w:t xml:space="preserve"> ale także zróżnicowania oferty i sposobów obsługi. </w:t>
      </w:r>
      <w:r w:rsidR="00DF76CE">
        <w:t>Aktualnie, na całym świecie</w:t>
      </w:r>
      <w:r w:rsidR="00EE0352">
        <w:t>, konserwatywne</w:t>
      </w:r>
      <w:r w:rsidR="00DF76CE">
        <w:t xml:space="preserve"> pokolenie baby </w:t>
      </w:r>
      <w:proofErr w:type="spellStart"/>
      <w:r w:rsidR="00DF76CE">
        <w:t>boomers</w:t>
      </w:r>
      <w:proofErr w:type="spellEnd"/>
      <w:r w:rsidR="00DF76CE">
        <w:t xml:space="preserve"> przekazuje swoje majątki w ręce swoich następców</w:t>
      </w:r>
      <w:r w:rsidR="00EE0352">
        <w:t xml:space="preserve"> z pokolenia X</w:t>
      </w:r>
      <w:r w:rsidR="00DF76CE">
        <w:t xml:space="preserve">. </w:t>
      </w:r>
      <w:r w:rsidR="00DF76CE">
        <w:lastRenderedPageBreak/>
        <w:t xml:space="preserve">Największe </w:t>
      </w:r>
      <w:r w:rsidR="00830BA6">
        <w:t>fortuny</w:t>
      </w:r>
      <w:r w:rsidR="00DF76CE">
        <w:t xml:space="preserve"> świata trafiają w ręce osób </w:t>
      </w:r>
      <w:r w:rsidR="00EE0352">
        <w:t>znacznie lepiej</w:t>
      </w:r>
      <w:r w:rsidR="00DF76CE">
        <w:t xml:space="preserve"> czujących się w świecie cyfrowych technologii. Z całą pewnością nie są to </w:t>
      </w:r>
      <w:r w:rsidR="00830BA6">
        <w:t>klienci</w:t>
      </w:r>
      <w:r w:rsidR="00DF76CE">
        <w:t xml:space="preserve">, którzy dzwonią do maklera i przez telefon zlecają mu zakup akcji. </w:t>
      </w:r>
      <w:r w:rsidR="00EE0352">
        <w:t>Wymagają oni natomiast</w:t>
      </w:r>
      <w:r w:rsidR="00DF76CE">
        <w:t xml:space="preserve"> od prywatnej bankowości dostępu do rozbudowanych narzędzi bankowości elektronicznej.  </w:t>
      </w:r>
      <w:r w:rsidR="00FB55E7">
        <w:t xml:space="preserve"> </w:t>
      </w:r>
    </w:p>
    <w:p w:rsidR="006F61EB" w:rsidRDefault="006F61EB" w:rsidP="00FB7E53">
      <w:pPr>
        <w:spacing w:line="360" w:lineRule="auto"/>
        <w:jc w:val="both"/>
      </w:pPr>
    </w:p>
    <w:p w:rsidR="00FA4315" w:rsidRDefault="00DF76CE" w:rsidP="00FB7E53">
      <w:pPr>
        <w:spacing w:line="360" w:lineRule="auto"/>
        <w:jc w:val="both"/>
      </w:pPr>
      <w:r>
        <w:t>Niestety, dla bank</w:t>
      </w:r>
      <w:r w:rsidR="00EE0352">
        <w:t>ów</w:t>
      </w:r>
      <w:r>
        <w:t xml:space="preserve"> może to być ślepa uliczka. Przecież już od dłuższego czasu, nawet klienci detaliczni dysponują doskonałymi narzędziami dającymi dostęp do rynków kapitałowych i pieniężnych. </w:t>
      </w:r>
      <w:r w:rsidR="00EE0352">
        <w:t>Upowszechniono</w:t>
      </w:r>
      <w:r>
        <w:t xml:space="preserve"> produkty finansowe</w:t>
      </w:r>
      <w:r w:rsidR="00EE0352">
        <w:t>, jakie</w:t>
      </w:r>
      <w:r>
        <w:t xml:space="preserve"> jeszcze całkiem niedawno były dostępne wyłącznie dla instytucji finansowych lub ich największych klientów instytucjonalnych. Nie bardzo wiadomo, </w:t>
      </w:r>
      <w:r w:rsidR="00FA4315">
        <w:t xml:space="preserve">jak zbudować elektroniczne produkty premium </w:t>
      </w:r>
      <w:r>
        <w:t xml:space="preserve">dla klientów z segmentu HNWI. Można </w:t>
      </w:r>
      <w:r w:rsidR="00FA4315">
        <w:t>im</w:t>
      </w:r>
      <w:r>
        <w:t xml:space="preserve"> zaoferować niższe prowizje od </w:t>
      </w:r>
      <w:r w:rsidR="00FB7E53">
        <w:t>transakcji,</w:t>
      </w:r>
      <w:r>
        <w:t xml:space="preserve"> ale te, w wyniku zażartej konkurencji są już maksymalnie ścięte nawet dla klientów detalicznych. </w:t>
      </w:r>
    </w:p>
    <w:p w:rsidR="00FA4315" w:rsidRDefault="00FA4315" w:rsidP="00FB7E53">
      <w:pPr>
        <w:spacing w:line="360" w:lineRule="auto"/>
        <w:jc w:val="both"/>
      </w:pPr>
    </w:p>
    <w:p w:rsidR="00DF76CE" w:rsidRDefault="004A1E4B" w:rsidP="00FB7E53">
      <w:pPr>
        <w:spacing w:line="360" w:lineRule="auto"/>
        <w:jc w:val="both"/>
      </w:pPr>
      <w:r>
        <w:t>Narzędzia bankowości elektronicznej charakteryzują się bardzo niskim kosztem zmiennym użytkowania. Dlatego, wysokie natężenie konkurencji w sektorze</w:t>
      </w:r>
      <w:r w:rsidR="00FA4315">
        <w:t xml:space="preserve"> powoduje</w:t>
      </w:r>
      <w:r>
        <w:t xml:space="preserve">, </w:t>
      </w:r>
      <w:r w:rsidR="00FA4315">
        <w:t xml:space="preserve">że </w:t>
      </w:r>
      <w:r w:rsidR="00830BA6">
        <w:t>platformy usługowe</w:t>
      </w:r>
      <w:r>
        <w:t xml:space="preserve"> opracowane na użytek najbardziej zamożnych klientów prędzej czy później skończą jako element oferty detalicznej. </w:t>
      </w:r>
    </w:p>
    <w:p w:rsidR="00AA442B" w:rsidRDefault="00AA442B" w:rsidP="00FB7E53">
      <w:pPr>
        <w:spacing w:line="360" w:lineRule="auto"/>
        <w:jc w:val="both"/>
      </w:pPr>
    </w:p>
    <w:p w:rsidR="00AA442B" w:rsidRDefault="00AA442B" w:rsidP="00FB7E53">
      <w:pPr>
        <w:spacing w:line="360" w:lineRule="auto"/>
        <w:jc w:val="both"/>
      </w:pPr>
      <w:r>
        <w:t>W</w:t>
      </w:r>
      <w:r w:rsidR="00FA4315">
        <w:t xml:space="preserve">zrost konkurencyjności w sektorze bankowym i finansowym dotyczy również segmentów </w:t>
      </w:r>
      <w:proofErr w:type="spellStart"/>
      <w:r w:rsidR="00FA4315">
        <w:t>private</w:t>
      </w:r>
      <w:proofErr w:type="spellEnd"/>
      <w:r w:rsidR="00FA4315">
        <w:t xml:space="preserve"> banking i </w:t>
      </w:r>
      <w:proofErr w:type="spellStart"/>
      <w:r w:rsidR="00FA4315">
        <w:t>wealth</w:t>
      </w:r>
      <w:proofErr w:type="spellEnd"/>
      <w:r w:rsidR="00FA4315">
        <w:t xml:space="preserve"> management. W dodatku k</w:t>
      </w:r>
      <w:r>
        <w:t xml:space="preserve">lienci mają coraz </w:t>
      </w:r>
      <w:r w:rsidR="00FA4315">
        <w:t>łatwiejszy</w:t>
      </w:r>
      <w:r>
        <w:t xml:space="preserve"> dostęp do wiedzy ekonomicznej</w:t>
      </w:r>
      <w:r w:rsidR="00FA4315">
        <w:t xml:space="preserve">. Mogą też bardzo </w:t>
      </w:r>
      <w:r>
        <w:t>łatwy sposób porównywać oferty</w:t>
      </w:r>
      <w:r w:rsidR="00FA4315">
        <w:t xml:space="preserve"> poszczególnych dostawców</w:t>
      </w:r>
      <w:r>
        <w:t xml:space="preserve">. </w:t>
      </w:r>
      <w:r w:rsidR="00830BA6">
        <w:t>Dlatego c</w:t>
      </w:r>
      <w:r w:rsidR="00FA4315">
        <w:t>ały sektor bankowości premium może spodziewać się znaczącego spadku stopnia lojalności klientów.</w:t>
      </w:r>
    </w:p>
    <w:p w:rsidR="00FA4315" w:rsidRDefault="00FA4315" w:rsidP="00FB7E53">
      <w:pPr>
        <w:spacing w:line="360" w:lineRule="auto"/>
        <w:jc w:val="both"/>
      </w:pPr>
    </w:p>
    <w:p w:rsidR="00FA4315" w:rsidRDefault="00FA4315" w:rsidP="00FB7E53">
      <w:pPr>
        <w:spacing w:line="360" w:lineRule="auto"/>
        <w:jc w:val="both"/>
      </w:pPr>
      <w:r>
        <w:t>W czasach zerowych</w:t>
      </w:r>
      <w:r w:rsidR="000856E6">
        <w:t xml:space="preserve"> lub ujemnych</w:t>
      </w:r>
      <w:r>
        <w:t xml:space="preserve"> stóp procentowych coraz trudniej o skuteczne i zyskowne strategie inwestycyjne.</w:t>
      </w:r>
      <w:r w:rsidR="000856E6">
        <w:t xml:space="preserve"> Przestają działać schematy skuteczne od kilkuset lat. Nie można obecnie pomnażać majątku dzięki konserwatywnym, bezpiecznym portfelom. </w:t>
      </w:r>
      <w:r>
        <w:t xml:space="preserve"> </w:t>
      </w:r>
      <w:r w:rsidR="000856E6">
        <w:t>Ze strony zamożnych klientów będzie r</w:t>
      </w:r>
      <w:r>
        <w:t>o</w:t>
      </w:r>
      <w:r w:rsidR="000856E6">
        <w:t>sła</w:t>
      </w:r>
      <w:r>
        <w:t xml:space="preserve"> presja na </w:t>
      </w:r>
      <w:r w:rsidR="00FB7E53">
        <w:t>banki,</w:t>
      </w:r>
      <w:r>
        <w:t xml:space="preserve"> aby zapewniły klientom produkty inwestycyjne o wysokim stopniu zwrotu unikając nadmiernej ekspozycji na ryzyko.</w:t>
      </w:r>
      <w:r w:rsidR="000856E6">
        <w:t xml:space="preserve"> </w:t>
      </w:r>
    </w:p>
    <w:p w:rsidR="000856E6" w:rsidRDefault="000856E6" w:rsidP="00FB7E53">
      <w:pPr>
        <w:spacing w:line="360" w:lineRule="auto"/>
        <w:jc w:val="both"/>
      </w:pPr>
    </w:p>
    <w:p w:rsidR="00873DEF" w:rsidRDefault="00873DEF" w:rsidP="00FB7E53">
      <w:pPr>
        <w:spacing w:line="360" w:lineRule="auto"/>
        <w:jc w:val="both"/>
      </w:pPr>
      <w:r>
        <w:t xml:space="preserve">W odpowiedzi na potrzeby coraz młodszych, zaawansowanych technologicznie klientów, portfele inwestycyjne coraz częściej są tworzone za pomocą platform cyfrowych stosujących </w:t>
      </w:r>
      <w:r>
        <w:lastRenderedPageBreak/>
        <w:t>algorytmy sztucznej inteligencji, znanych jako robo-</w:t>
      </w:r>
      <w:proofErr w:type="spellStart"/>
      <w:r>
        <w:t>advisors</w:t>
      </w:r>
      <w:proofErr w:type="spellEnd"/>
      <w:r>
        <w:t>. Jest to obecnie jedn</w:t>
      </w:r>
      <w:r w:rsidR="00830BA6">
        <w:t>a</w:t>
      </w:r>
      <w:r>
        <w:t xml:space="preserve"> z najszybciej rozwijających się usług w ramach</w:t>
      </w:r>
      <w:r w:rsidR="00BF3DBB">
        <w:t xml:space="preserve"> bankowości prywatnej i</w:t>
      </w:r>
      <w:r>
        <w:t xml:space="preserve"> całego sektora finansowego. Przez najbliższe lata jej tempo wzrostu może pozostać trzycyfrowe. </w:t>
      </w:r>
      <w:r w:rsidR="00BF3DBB">
        <w:t>Trudno jednak</w:t>
      </w:r>
      <w:r>
        <w:t xml:space="preserve"> sobie wyobra</w:t>
      </w:r>
      <w:r w:rsidR="00BF3DBB">
        <w:t>zi</w:t>
      </w:r>
      <w:r>
        <w:t xml:space="preserve">ć, aby ta usługa </w:t>
      </w:r>
      <w:r w:rsidR="00BF3DBB">
        <w:t xml:space="preserve">na </w:t>
      </w:r>
      <w:r>
        <w:t>dłuż</w:t>
      </w:r>
      <w:r w:rsidR="00BF3DBB">
        <w:t>szy czas</w:t>
      </w:r>
      <w:r>
        <w:t xml:space="preserve"> pozostała dostępna tylko dla klientów premium. Prawdopodobnie, tak jak w przypadku innych produktów bankowości elektronicznej, czeka ją upowszechnienie.</w:t>
      </w:r>
    </w:p>
    <w:p w:rsidR="00873DEF" w:rsidRDefault="00873DEF" w:rsidP="00FB7E53">
      <w:pPr>
        <w:spacing w:line="360" w:lineRule="auto"/>
        <w:jc w:val="both"/>
      </w:pPr>
    </w:p>
    <w:p w:rsidR="00873DEF" w:rsidRDefault="000856E6" w:rsidP="00FB7E53">
      <w:pPr>
        <w:spacing w:line="360" w:lineRule="auto"/>
        <w:jc w:val="both"/>
      </w:pPr>
      <w:r>
        <w:t>N</w:t>
      </w:r>
      <w:r w:rsidR="00830BA6">
        <w:t>atomiast n</w:t>
      </w:r>
      <w:r>
        <w:t>ajwiększa szansa dla bankowości p</w:t>
      </w:r>
      <w:r w:rsidR="00830BA6">
        <w:t>r</w:t>
      </w:r>
      <w:r>
        <w:t>ywatnej polega na tym, że klienci, zdając sobie sprawę ze swojej trudniejszej sytuacji, będą bardziej skłonni do płacenia wyższych prowizji za skuteczne skuteczne doradztwo inwestycyjne. W świecie coraz bardziej świadomych klientów, sukces w branży bankowości prywatnej musi być oparty na prawdziwej, eksperckiej wiedzy. Strategie inwestycyjne muszą być przede wszystkim skuteczne. Na nieszczęście wielu instytucji finansowych, ich skuteczność można w bardzo łatwy sposób zweryfikować.</w:t>
      </w:r>
    </w:p>
    <w:p w:rsidR="004A1E4B" w:rsidRDefault="004A1E4B" w:rsidP="00FB7E53">
      <w:pPr>
        <w:spacing w:line="360" w:lineRule="auto"/>
        <w:jc w:val="both"/>
      </w:pPr>
    </w:p>
    <w:p w:rsidR="001408DA" w:rsidRDefault="00BF3DBB" w:rsidP="00FB7E53">
      <w:pPr>
        <w:spacing w:line="360" w:lineRule="auto"/>
        <w:jc w:val="both"/>
      </w:pPr>
      <w:r>
        <w:t xml:space="preserve">Menedżerowie sektora </w:t>
      </w:r>
      <w:proofErr w:type="spellStart"/>
      <w:r>
        <w:t>wealth</w:t>
      </w:r>
      <w:proofErr w:type="spellEnd"/>
      <w:r>
        <w:t xml:space="preserve"> management muszą też zwrócić uwagę na inne zjawiska zachodzące w otoczeniu demograficznym. Jest to na przykład coraz większa rola kobiet jako klientów. Jak doskonale wiedzą specjaliści od marketingu, kobiety często stanowią bardzo </w:t>
      </w:r>
      <w:r w:rsidR="00FB7E53">
        <w:t>wymagająca,</w:t>
      </w:r>
      <w:r>
        <w:t xml:space="preserve"> ale jednocześnie życzliwie zaangażowaną grupę klientów. Od firm finansowych wymagają tego, co</w:t>
      </w:r>
      <w:r w:rsidR="002A06A4">
        <w:t xml:space="preserve"> wydaje się bardzo trudne – osiągania dobrych wyników przy niskim ryzyku inwestycyjnym.</w:t>
      </w:r>
      <w:r>
        <w:t xml:space="preserve"> </w:t>
      </w:r>
    </w:p>
    <w:p w:rsidR="001408DA" w:rsidRDefault="001408DA" w:rsidP="00FB7E53">
      <w:pPr>
        <w:spacing w:line="360" w:lineRule="auto"/>
        <w:jc w:val="both"/>
      </w:pPr>
    </w:p>
    <w:p w:rsidR="00FB55E7" w:rsidRDefault="00FB55E7" w:rsidP="00FB7E53">
      <w:pPr>
        <w:spacing w:line="360" w:lineRule="auto"/>
        <w:jc w:val="both"/>
      </w:pPr>
      <w:r>
        <w:t xml:space="preserve">Z globalnego punktu widzenia </w:t>
      </w:r>
      <w:r w:rsidR="002A06A4">
        <w:t xml:space="preserve">dla branży bankowości prywatnej </w:t>
      </w:r>
      <w:r>
        <w:t>istotn</w:t>
      </w:r>
      <w:r w:rsidR="002A06A4">
        <w:t>ym</w:t>
      </w:r>
      <w:r>
        <w:t xml:space="preserve"> zjawiskiem jest</w:t>
      </w:r>
      <w:r w:rsidR="002A06A4">
        <w:t xml:space="preserve"> też</w:t>
      </w:r>
      <w:r>
        <w:t xml:space="preserve"> </w:t>
      </w:r>
      <w:r w:rsidR="002A06A4">
        <w:t>wzrost znaczenia Azji Wschodniej i Południowo Wschodniej kosztem Ameryki Północnej i Europy Zachodniej. Bardzo uważnie należy obserwować wskaźniki demograficzne dotyczące Chin i Indii. W pierwszym przypadku rezygnacja z polityki jednego dziecka może spowolnić proces starzenia się społeczeństwa, co będzie miało korzystny wpływ na rozw</w:t>
      </w:r>
      <w:r w:rsidR="00830BA6">
        <w:t xml:space="preserve">ój </w:t>
      </w:r>
      <w:r w:rsidR="002A06A4">
        <w:t>gospodarcz</w:t>
      </w:r>
      <w:r w:rsidR="00830BA6">
        <w:t>y</w:t>
      </w:r>
      <w:r w:rsidR="002A06A4">
        <w:t xml:space="preserve">. </w:t>
      </w:r>
      <w:r w:rsidR="00830BA6">
        <w:t xml:space="preserve">Z </w:t>
      </w:r>
      <w:r w:rsidR="00FB7E53">
        <w:t>kolei,</w:t>
      </w:r>
      <w:r w:rsidR="00830BA6">
        <w:t xml:space="preserve"> j</w:t>
      </w:r>
      <w:r w:rsidR="002A06A4">
        <w:t>eśli chodzi o Indie, specjaliści wróżą temu krajowi bardzo dynamiczny rozwój przez najbliższe kilkadziesiąt lat. Jeżeli uda się utrzymać wysokie tempo rozwoju gospodarczego, Indie dość szybko sta</w:t>
      </w:r>
      <w:r w:rsidR="00830BA6">
        <w:t>ną</w:t>
      </w:r>
      <w:r w:rsidR="002A06A4">
        <w:t xml:space="preserve"> się jedną z najważniejszych gospodarek świata, co będzie miało konsekwencje również dla sektora bankowego</w:t>
      </w:r>
      <w:r w:rsidR="000D7123">
        <w:t>.</w:t>
      </w:r>
    </w:p>
    <w:p w:rsidR="00B71DA3" w:rsidRDefault="00B71DA3" w:rsidP="00FB7E53">
      <w:pPr>
        <w:spacing w:line="360" w:lineRule="auto"/>
        <w:jc w:val="both"/>
      </w:pPr>
    </w:p>
    <w:p w:rsidR="00F3188B" w:rsidRDefault="002A06A4" w:rsidP="00FB7E53">
      <w:pPr>
        <w:spacing w:line="360" w:lineRule="auto"/>
        <w:jc w:val="both"/>
      </w:pPr>
      <w:r>
        <w:lastRenderedPageBreak/>
        <w:t>Bez wątpienia s</w:t>
      </w:r>
      <w:r w:rsidR="001E640A">
        <w:t xml:space="preserve">ektor bankowości prywatnej wchodzi w </w:t>
      </w:r>
      <w:r w:rsidR="00F3188B">
        <w:t>dekadę transformacji cyfrowej i generacyjnej.</w:t>
      </w:r>
      <w:r>
        <w:t xml:space="preserve"> Najbardziej zamożni klienci będą oczekiwać od swoich banków ochrony przed rosnącym ryzykiem.</w:t>
      </w:r>
      <w:r w:rsidR="00830BA6">
        <w:t xml:space="preserve"> Sukces w tym zakresie gwarantuje osiągnięcie długookresowej przewagi konkurencyjnej.</w:t>
      </w:r>
    </w:p>
    <w:sectPr w:rsidR="00F3188B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8D"/>
    <w:rsid w:val="00030DCC"/>
    <w:rsid w:val="000856E6"/>
    <w:rsid w:val="000D7123"/>
    <w:rsid w:val="000F1B89"/>
    <w:rsid w:val="001408DA"/>
    <w:rsid w:val="001E640A"/>
    <w:rsid w:val="002A06A4"/>
    <w:rsid w:val="00445C3E"/>
    <w:rsid w:val="00474B0F"/>
    <w:rsid w:val="004A1E4B"/>
    <w:rsid w:val="0061589D"/>
    <w:rsid w:val="0066783F"/>
    <w:rsid w:val="006F61EB"/>
    <w:rsid w:val="00702813"/>
    <w:rsid w:val="00830BA6"/>
    <w:rsid w:val="00873DEF"/>
    <w:rsid w:val="008951EB"/>
    <w:rsid w:val="008F45C9"/>
    <w:rsid w:val="0096348D"/>
    <w:rsid w:val="0098095A"/>
    <w:rsid w:val="009C2A4A"/>
    <w:rsid w:val="00A1575E"/>
    <w:rsid w:val="00AA442B"/>
    <w:rsid w:val="00B14FB3"/>
    <w:rsid w:val="00B71DA3"/>
    <w:rsid w:val="00BF3DBB"/>
    <w:rsid w:val="00BF79BB"/>
    <w:rsid w:val="00D231F4"/>
    <w:rsid w:val="00DF76CE"/>
    <w:rsid w:val="00EE0352"/>
    <w:rsid w:val="00F3188B"/>
    <w:rsid w:val="00FA4315"/>
    <w:rsid w:val="00FB55E7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4DDD7"/>
  <w14:defaultImageDpi w14:val="32767"/>
  <w15:chartTrackingRefBased/>
  <w15:docId w15:val="{B42929FE-A2D3-384C-9B09-FFD26A1C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3</cp:revision>
  <dcterms:created xsi:type="dcterms:W3CDTF">2020-07-21T12:58:00Z</dcterms:created>
  <dcterms:modified xsi:type="dcterms:W3CDTF">2020-08-03T10:22:00Z</dcterms:modified>
</cp:coreProperties>
</file>