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6C302" w14:textId="1322C5DB" w:rsidR="0005674F" w:rsidRDefault="003C123D" w:rsidP="0005674F">
      <w:pPr>
        <w:jc w:val="center"/>
        <w:rPr>
          <w:b/>
        </w:rPr>
      </w:pPr>
      <w:r>
        <w:rPr>
          <w:b/>
        </w:rPr>
        <w:t>C</w:t>
      </w:r>
      <w:r w:rsidRPr="003C123D">
        <w:rPr>
          <w:b/>
        </w:rPr>
        <w:t>hmura możliwości dla sektora regulowanego</w:t>
      </w:r>
      <w:r w:rsidRPr="003C123D" w:rsidDel="003C123D">
        <w:rPr>
          <w:b/>
        </w:rPr>
        <w:t xml:space="preserve"> </w:t>
      </w:r>
    </w:p>
    <w:p w14:paraId="6C1F8BF9" w14:textId="77777777" w:rsidR="00FC2A67" w:rsidRPr="00E5189D" w:rsidRDefault="00FC2A67" w:rsidP="0005674F">
      <w:pPr>
        <w:jc w:val="center"/>
        <w:rPr>
          <w:b/>
        </w:rPr>
      </w:pPr>
      <w:bookmarkStart w:id="0" w:name="_GoBack"/>
      <w:bookmarkEnd w:id="0"/>
    </w:p>
    <w:p w14:paraId="03FC8B44" w14:textId="6E33E839" w:rsidR="0079098A" w:rsidRDefault="000042AA" w:rsidP="0079098A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R</w:t>
      </w:r>
      <w:r w:rsidR="00610923" w:rsidRPr="0079098A">
        <w:rPr>
          <w:b/>
        </w:rPr>
        <w:t xml:space="preserve">ynek </w:t>
      </w:r>
      <w:proofErr w:type="spellStart"/>
      <w:r w:rsidR="00610923" w:rsidRPr="0079098A">
        <w:rPr>
          <w:b/>
          <w:i/>
        </w:rPr>
        <w:t>cloud</w:t>
      </w:r>
      <w:proofErr w:type="spellEnd"/>
      <w:r w:rsidR="00610923" w:rsidRPr="0079098A">
        <w:rPr>
          <w:b/>
          <w:i/>
        </w:rPr>
        <w:t xml:space="preserve"> </w:t>
      </w:r>
      <w:proofErr w:type="spellStart"/>
      <w:r w:rsidR="00610923" w:rsidRPr="0079098A">
        <w:rPr>
          <w:b/>
          <w:i/>
        </w:rPr>
        <w:t>computing</w:t>
      </w:r>
      <w:proofErr w:type="spellEnd"/>
      <w:r w:rsidR="00610923" w:rsidRPr="0079098A">
        <w:rPr>
          <w:b/>
        </w:rPr>
        <w:t xml:space="preserve"> zaczął wyraźnie rozwijać się w Polsce w ciągu ostatnich </w:t>
      </w:r>
      <w:r w:rsidR="007F675F">
        <w:rPr>
          <w:b/>
        </w:rPr>
        <w:t>kilku</w:t>
      </w:r>
      <w:r w:rsidR="00610923" w:rsidRPr="0079098A">
        <w:rPr>
          <w:b/>
        </w:rPr>
        <w:t xml:space="preserve"> lat i obecnie </w:t>
      </w:r>
      <w:r>
        <w:rPr>
          <w:b/>
        </w:rPr>
        <w:t xml:space="preserve">analitycy </w:t>
      </w:r>
      <w:r w:rsidR="00610923" w:rsidRPr="0079098A">
        <w:rPr>
          <w:b/>
        </w:rPr>
        <w:t>spodziewa</w:t>
      </w:r>
      <w:r>
        <w:rPr>
          <w:b/>
        </w:rPr>
        <w:t>ją</w:t>
      </w:r>
      <w:r w:rsidR="00610923" w:rsidRPr="0079098A">
        <w:rPr>
          <w:b/>
        </w:rPr>
        <w:t xml:space="preserve"> się jego wzrostu </w:t>
      </w:r>
      <w:r w:rsidR="00110542">
        <w:rPr>
          <w:b/>
        </w:rPr>
        <w:t xml:space="preserve">na poziomie </w:t>
      </w:r>
      <w:r w:rsidR="00610923" w:rsidRPr="0079098A">
        <w:rPr>
          <w:b/>
        </w:rPr>
        <w:t>15-20</w:t>
      </w:r>
      <w:r w:rsidR="00822C3F">
        <w:rPr>
          <w:b/>
        </w:rPr>
        <w:t xml:space="preserve"> proc.</w:t>
      </w:r>
      <w:r w:rsidR="00610923" w:rsidRPr="0079098A">
        <w:rPr>
          <w:b/>
        </w:rPr>
        <w:t xml:space="preserve"> rocznie. </w:t>
      </w:r>
    </w:p>
    <w:p w14:paraId="5A8E2E28" w14:textId="1B8D8801" w:rsidR="00110542" w:rsidRDefault="00110542" w:rsidP="00B4664C">
      <w:pPr>
        <w:pStyle w:val="Akapitzlist"/>
        <w:numPr>
          <w:ilvl w:val="0"/>
          <w:numId w:val="2"/>
        </w:numPr>
        <w:jc w:val="both"/>
        <w:rPr>
          <w:b/>
        </w:rPr>
      </w:pPr>
      <w:r w:rsidRPr="00B4664C">
        <w:rPr>
          <w:b/>
          <w:shd w:val="clear" w:color="auto" w:fill="FFFFFF"/>
        </w:rPr>
        <w:t>Zgodnie z badaniami, do 2022 roku aż 90% firm będzie pracować na hybrydowych rozwiązaniach chmurowych</w:t>
      </w:r>
      <w:r>
        <w:rPr>
          <w:rStyle w:val="Odwoanieprzypisudolnego"/>
          <w:b/>
          <w:shd w:val="clear" w:color="auto" w:fill="FFFFFF"/>
        </w:rPr>
        <w:footnoteReference w:id="1"/>
      </w:r>
      <w:r w:rsidRPr="00B4664C">
        <w:rPr>
          <w:b/>
          <w:shd w:val="clear" w:color="auto" w:fill="FFFFFF"/>
        </w:rPr>
        <w:t>.</w:t>
      </w:r>
    </w:p>
    <w:p w14:paraId="3FD4D0C9" w14:textId="2456CCB3" w:rsidR="00F8399C" w:rsidRPr="00110542" w:rsidRDefault="00610923" w:rsidP="00110542">
      <w:pPr>
        <w:pStyle w:val="Akapitzlist"/>
        <w:numPr>
          <w:ilvl w:val="0"/>
          <w:numId w:val="2"/>
        </w:numPr>
        <w:jc w:val="both"/>
        <w:rPr>
          <w:b/>
        </w:rPr>
      </w:pPr>
      <w:r w:rsidRPr="0079098A">
        <w:rPr>
          <w:b/>
        </w:rPr>
        <w:t xml:space="preserve">Mimo to firmy z </w:t>
      </w:r>
      <w:r w:rsidR="000042AA">
        <w:rPr>
          <w:b/>
        </w:rPr>
        <w:t xml:space="preserve">regulowanych </w:t>
      </w:r>
      <w:r w:rsidRPr="0079098A">
        <w:rPr>
          <w:b/>
        </w:rPr>
        <w:t>sektorów</w:t>
      </w:r>
      <w:r w:rsidR="000042AA">
        <w:rPr>
          <w:b/>
        </w:rPr>
        <w:t xml:space="preserve"> </w:t>
      </w:r>
      <w:r w:rsidRPr="0079098A">
        <w:rPr>
          <w:b/>
        </w:rPr>
        <w:t>takich</w:t>
      </w:r>
      <w:r w:rsidR="00110542">
        <w:rPr>
          <w:b/>
        </w:rPr>
        <w:t>,</w:t>
      </w:r>
      <w:r w:rsidRPr="0079098A">
        <w:rPr>
          <w:b/>
        </w:rPr>
        <w:t xml:space="preserve"> jak bankowość, ochrona zdrowia czy energetyka</w:t>
      </w:r>
      <w:r w:rsidR="00110542">
        <w:rPr>
          <w:b/>
        </w:rPr>
        <w:t>,</w:t>
      </w:r>
      <w:r w:rsidRPr="0079098A">
        <w:rPr>
          <w:b/>
        </w:rPr>
        <w:t xml:space="preserve"> wciąż </w:t>
      </w:r>
      <w:r w:rsidR="00110542">
        <w:rPr>
          <w:b/>
        </w:rPr>
        <w:t xml:space="preserve">powoli implementują </w:t>
      </w:r>
      <w:r w:rsidR="0079098A">
        <w:rPr>
          <w:b/>
        </w:rPr>
        <w:t>rozwiązania</w:t>
      </w:r>
      <w:r w:rsidR="00110542">
        <w:rPr>
          <w:b/>
        </w:rPr>
        <w:t xml:space="preserve"> z tej dziedziny</w:t>
      </w:r>
      <w:r w:rsidR="0079098A">
        <w:rPr>
          <w:b/>
        </w:rPr>
        <w:t xml:space="preserve">. </w:t>
      </w:r>
    </w:p>
    <w:p w14:paraId="2202036D" w14:textId="77777777" w:rsidR="00E5189D" w:rsidRDefault="00E5189D" w:rsidP="00E5189D">
      <w:pPr>
        <w:jc w:val="both"/>
        <w:rPr>
          <w:b/>
        </w:rPr>
      </w:pPr>
    </w:p>
    <w:p w14:paraId="424A3B92" w14:textId="2B491AAB" w:rsidR="00E5189D" w:rsidRDefault="00E5189D" w:rsidP="0079098A">
      <w:pPr>
        <w:jc w:val="both"/>
      </w:pPr>
      <w:r w:rsidRPr="0079098A">
        <w:t>Rok 2020 wpłynął na decyzje inwestycyjne i strategiczne w obszarach IT</w:t>
      </w:r>
      <w:r w:rsidR="00110542">
        <w:t xml:space="preserve"> mocniej niż poprzednie lata</w:t>
      </w:r>
      <w:r w:rsidRPr="0079098A">
        <w:t>. Firmy zmuszone do zmiany na pracę zdalną, z dnia na d</w:t>
      </w:r>
      <w:r w:rsidR="0079098A" w:rsidRPr="0079098A">
        <w:t>zień musiały przyśpieszyć swoje</w:t>
      </w:r>
      <w:r w:rsidR="000042AA">
        <w:t>,</w:t>
      </w:r>
      <w:r w:rsidR="0079098A" w:rsidRPr="0079098A">
        <w:t xml:space="preserve"> rozłożone nierzadk</w:t>
      </w:r>
      <w:r w:rsidR="008A4F03">
        <w:t>o na kilka lat, plany cyfryzacji</w:t>
      </w:r>
      <w:r w:rsidR="0079098A" w:rsidRPr="0079098A">
        <w:t xml:space="preserve">. </w:t>
      </w:r>
      <w:r w:rsidR="00110542">
        <w:t>Mimo</w:t>
      </w:r>
      <w:r w:rsidR="0079098A" w:rsidRPr="0079098A">
        <w:t xml:space="preserve"> że już wcześniej </w:t>
      </w:r>
      <w:r w:rsidR="00110542">
        <w:t>u</w:t>
      </w:r>
      <w:r w:rsidR="00110542" w:rsidRPr="0079098A">
        <w:t xml:space="preserve">sługi chmurowe </w:t>
      </w:r>
      <w:r w:rsidR="0079098A" w:rsidRPr="0079098A">
        <w:t xml:space="preserve">cieszyły się popularnością wśród przedsiębiorców, </w:t>
      </w:r>
      <w:r w:rsidR="00110542">
        <w:t xml:space="preserve">to </w:t>
      </w:r>
      <w:r w:rsidR="0079098A" w:rsidRPr="0079098A">
        <w:t xml:space="preserve">stały się </w:t>
      </w:r>
      <w:r w:rsidR="00110542">
        <w:t xml:space="preserve">one </w:t>
      </w:r>
      <w:r w:rsidR="0079098A" w:rsidRPr="0079098A">
        <w:t xml:space="preserve">rozwiązaniem </w:t>
      </w:r>
      <w:r w:rsidR="002966AB">
        <w:t>idealnie dopasowanym do bieżących potrzeb</w:t>
      </w:r>
      <w:r w:rsidR="0079098A" w:rsidRPr="0079098A">
        <w:t xml:space="preserve">. Usługi oparte na chmurze okazały się niezbędne </w:t>
      </w:r>
      <w:r w:rsidR="0079098A">
        <w:t>dla zachowania</w:t>
      </w:r>
      <w:r w:rsidR="0079098A" w:rsidRPr="0079098A">
        <w:t xml:space="preserve"> ciągłości </w:t>
      </w:r>
      <w:r w:rsidR="0079098A">
        <w:t>operacyjnej</w:t>
      </w:r>
      <w:r w:rsidR="0079098A" w:rsidRPr="0079098A">
        <w:t xml:space="preserve"> podczas </w:t>
      </w:r>
      <w:proofErr w:type="spellStart"/>
      <w:r w:rsidR="0079098A" w:rsidRPr="0079098A">
        <w:t>lockdownu</w:t>
      </w:r>
      <w:proofErr w:type="spellEnd"/>
      <w:r w:rsidR="0079098A">
        <w:t xml:space="preserve">. </w:t>
      </w:r>
    </w:p>
    <w:p w14:paraId="34DC3B1D" w14:textId="77777777" w:rsidR="0079098A" w:rsidRDefault="0079098A" w:rsidP="0079098A">
      <w:pPr>
        <w:jc w:val="both"/>
      </w:pPr>
    </w:p>
    <w:p w14:paraId="7FD490A9" w14:textId="4C2182D5" w:rsidR="0079098A" w:rsidRDefault="0079098A" w:rsidP="0079098A">
      <w:pPr>
        <w:jc w:val="both"/>
        <w:rPr>
          <w:b/>
        </w:rPr>
      </w:pPr>
      <w:r w:rsidRPr="0079098A">
        <w:rPr>
          <w:b/>
        </w:rPr>
        <w:t>B</w:t>
      </w:r>
      <w:r w:rsidR="00C02990">
        <w:rPr>
          <w:b/>
        </w:rPr>
        <w:t>oo</w:t>
      </w:r>
      <w:r w:rsidRPr="0079098A">
        <w:rPr>
          <w:b/>
        </w:rPr>
        <w:t>m na chmury</w:t>
      </w:r>
    </w:p>
    <w:p w14:paraId="18BEAE64" w14:textId="77777777" w:rsidR="0079098A" w:rsidRDefault="0079098A" w:rsidP="0079098A">
      <w:pPr>
        <w:jc w:val="both"/>
        <w:rPr>
          <w:b/>
        </w:rPr>
      </w:pPr>
    </w:p>
    <w:p w14:paraId="6634E3B4" w14:textId="24273341" w:rsidR="001D3C6A" w:rsidRDefault="001D3C6A" w:rsidP="001D3C6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Według analityków Gartnera, przychody dostawców chmury publicznej wzrosną w 2020 r</w:t>
      </w:r>
      <w:r w:rsidR="00C02990">
        <w:rPr>
          <w:shd w:val="clear" w:color="auto" w:fill="FFFFFF"/>
        </w:rPr>
        <w:t>.</w:t>
      </w:r>
      <w:r>
        <w:rPr>
          <w:shd w:val="clear" w:color="auto" w:fill="FFFFFF"/>
        </w:rPr>
        <w:t xml:space="preserve"> o 6,3</w:t>
      </w:r>
      <w:r w:rsidR="00822C3F">
        <w:rPr>
          <w:shd w:val="clear" w:color="auto" w:fill="FFFFFF"/>
        </w:rPr>
        <w:t xml:space="preserve"> proc.</w:t>
      </w:r>
      <w:r>
        <w:rPr>
          <w:shd w:val="clear" w:color="auto" w:fill="FFFFFF"/>
        </w:rPr>
        <w:t xml:space="preserve"> i będą rosły w podobnym tempie w kolejnych latach, żeby w</w:t>
      </w:r>
      <w:r w:rsidR="007F675F">
        <w:rPr>
          <w:shd w:val="clear" w:color="auto" w:fill="FFFFFF"/>
        </w:rPr>
        <w:t xml:space="preserve"> 2022 osiągnąć wartość 364 mld dolarów</w:t>
      </w:r>
      <w:r w:rsidR="0098301A">
        <w:rPr>
          <w:rStyle w:val="Odwoanieprzypisudolnego"/>
          <w:shd w:val="clear" w:color="auto" w:fill="FFFFFF"/>
        </w:rPr>
        <w:footnoteReference w:id="2"/>
      </w:r>
      <w:r>
        <w:rPr>
          <w:shd w:val="clear" w:color="auto" w:fill="FFFFFF"/>
        </w:rPr>
        <w:t xml:space="preserve">. W tej liczbie największy udział będą miały usługi SaaS – blisko 140 mld </w:t>
      </w:r>
      <w:r w:rsidR="007F675F">
        <w:rPr>
          <w:shd w:val="clear" w:color="auto" w:fill="FFFFFF"/>
        </w:rPr>
        <w:t xml:space="preserve">dolarów </w:t>
      </w:r>
      <w:r>
        <w:rPr>
          <w:shd w:val="clear" w:color="auto" w:fill="FFFFFF"/>
        </w:rPr>
        <w:t xml:space="preserve">w 2022 r. </w:t>
      </w:r>
      <w:r w:rsidR="0098301A">
        <w:rPr>
          <w:shd w:val="clear" w:color="auto" w:fill="FFFFFF"/>
        </w:rPr>
        <w:t xml:space="preserve">Jednocześnie, według raportu </w:t>
      </w:r>
      <w:proofErr w:type="spellStart"/>
      <w:r w:rsidR="0098301A" w:rsidRPr="0098301A">
        <w:rPr>
          <w:shd w:val="clear" w:color="auto" w:fill="FFFFFF"/>
        </w:rPr>
        <w:t>Research</w:t>
      </w:r>
      <w:proofErr w:type="spellEnd"/>
      <w:r w:rsidR="0098301A" w:rsidRPr="0098301A">
        <w:rPr>
          <w:shd w:val="clear" w:color="auto" w:fill="FFFFFF"/>
        </w:rPr>
        <w:t xml:space="preserve"> and </w:t>
      </w:r>
      <w:proofErr w:type="spellStart"/>
      <w:r w:rsidR="0098301A" w:rsidRPr="0098301A">
        <w:rPr>
          <w:shd w:val="clear" w:color="auto" w:fill="FFFFFF"/>
        </w:rPr>
        <w:t>Markets</w:t>
      </w:r>
      <w:proofErr w:type="spellEnd"/>
      <w:r w:rsidR="0098301A" w:rsidRPr="0098301A">
        <w:rPr>
          <w:shd w:val="clear" w:color="auto" w:fill="FFFFFF"/>
        </w:rPr>
        <w:t xml:space="preserve">, </w:t>
      </w:r>
      <w:r w:rsidR="0098301A">
        <w:rPr>
          <w:shd w:val="clear" w:color="auto" w:fill="FFFFFF"/>
        </w:rPr>
        <w:t xml:space="preserve">prognozy </w:t>
      </w:r>
      <w:r w:rsidR="007F675F">
        <w:rPr>
          <w:shd w:val="clear" w:color="auto" w:fill="FFFFFF"/>
        </w:rPr>
        <w:t>pokazują</w:t>
      </w:r>
      <w:r w:rsidR="0098301A">
        <w:rPr>
          <w:shd w:val="clear" w:color="auto" w:fill="FFFFFF"/>
        </w:rPr>
        <w:t xml:space="preserve">, że </w:t>
      </w:r>
      <w:r w:rsidR="0098301A" w:rsidRPr="0098301A">
        <w:rPr>
          <w:shd w:val="clear" w:color="auto" w:fill="FFFFFF"/>
        </w:rPr>
        <w:t xml:space="preserve">globalny rynek przetwarzania w chmurze wzrośnie do 832,1 mld </w:t>
      </w:r>
      <w:r w:rsidR="0098301A">
        <w:rPr>
          <w:shd w:val="clear" w:color="auto" w:fill="FFFFFF"/>
        </w:rPr>
        <w:t>dolarów do 2025</w:t>
      </w:r>
      <w:r w:rsidR="0098301A">
        <w:rPr>
          <w:rStyle w:val="Odwoanieprzypisudolnego"/>
          <w:shd w:val="clear" w:color="auto" w:fill="FFFFFF"/>
        </w:rPr>
        <w:footnoteReference w:id="3"/>
      </w:r>
      <w:r w:rsidR="0098301A">
        <w:rPr>
          <w:shd w:val="clear" w:color="auto" w:fill="FFFFFF"/>
        </w:rPr>
        <w:t xml:space="preserve">. </w:t>
      </w:r>
    </w:p>
    <w:p w14:paraId="16106522" w14:textId="77777777" w:rsidR="001D3C6A" w:rsidRDefault="001D3C6A" w:rsidP="001D3C6A">
      <w:pPr>
        <w:jc w:val="both"/>
      </w:pPr>
    </w:p>
    <w:p w14:paraId="0E047CAE" w14:textId="6FE46572" w:rsidR="00D168EE" w:rsidRDefault="00794763" w:rsidP="0079098A">
      <w:pPr>
        <w:jc w:val="both"/>
      </w:pPr>
      <w:r w:rsidRPr="001D3C6A">
        <w:t xml:space="preserve">Polski rynek </w:t>
      </w:r>
      <w:r w:rsidR="0098301A">
        <w:t xml:space="preserve">również </w:t>
      </w:r>
      <w:r w:rsidR="008A4F03" w:rsidRPr="001D3C6A">
        <w:t xml:space="preserve">od kilku lat </w:t>
      </w:r>
      <w:r w:rsidRPr="001D3C6A">
        <w:t>intensywnie się rozwija. Dane Computerworld pokazują, że dynamika rozwoju między 2020 a zeszłym rokiem wynosiła aż 30</w:t>
      </w:r>
      <w:r w:rsidR="00822C3F">
        <w:t xml:space="preserve"> proc.</w:t>
      </w:r>
      <w:r w:rsidR="009F11E1">
        <w:t xml:space="preserve"> </w:t>
      </w:r>
      <w:r w:rsidR="008A4F03" w:rsidRPr="001D3C6A">
        <w:t xml:space="preserve">Sama wartość sprzedaży chmur obliczeniowych to ponad 1,4 mld złotych. </w:t>
      </w:r>
      <w:r w:rsidRPr="001D3C6A">
        <w:t xml:space="preserve">Ponad połowa </w:t>
      </w:r>
      <w:r w:rsidR="001D3C6A" w:rsidRPr="001D3C6A">
        <w:t>firm przyznaje też</w:t>
      </w:r>
      <w:r w:rsidRPr="001D3C6A">
        <w:t xml:space="preserve">, że wiąże swoją </w:t>
      </w:r>
      <w:r w:rsidR="007F675F">
        <w:t>przyszłość z technologiami chmurowymi</w:t>
      </w:r>
      <w:r w:rsidRPr="001D3C6A">
        <w:t xml:space="preserve">. </w:t>
      </w:r>
      <w:r w:rsidR="007F675F">
        <w:t xml:space="preserve">Aż </w:t>
      </w:r>
      <w:r w:rsidRPr="001D3C6A">
        <w:t>28</w:t>
      </w:r>
      <w:r w:rsidR="00822C3F">
        <w:t xml:space="preserve"> proc.</w:t>
      </w:r>
      <w:r w:rsidRPr="001D3C6A">
        <w:t xml:space="preserve"> z nich doskonale wie, jak wykorzysta chmurę oraz opracowało szczegółowy plan migracji</w:t>
      </w:r>
      <w:r w:rsidR="009F11E1">
        <w:rPr>
          <w:rStyle w:val="Odwoanieprzypisudolnego"/>
        </w:rPr>
        <w:footnoteReference w:id="4"/>
      </w:r>
      <w:r w:rsidRPr="001D3C6A">
        <w:t xml:space="preserve">. </w:t>
      </w:r>
    </w:p>
    <w:p w14:paraId="5D2FE2F2" w14:textId="77777777" w:rsidR="00FE3A03" w:rsidRDefault="00FE3A03" w:rsidP="0079098A">
      <w:pPr>
        <w:jc w:val="both"/>
      </w:pPr>
    </w:p>
    <w:p w14:paraId="11223F8C" w14:textId="77777777" w:rsidR="001D3C6A" w:rsidRDefault="00067216" w:rsidP="0079098A">
      <w:pPr>
        <w:jc w:val="both"/>
      </w:pPr>
      <w:r>
        <w:rPr>
          <w:b/>
        </w:rPr>
        <w:t>Liczby są optymistyczne, ale…</w:t>
      </w:r>
    </w:p>
    <w:p w14:paraId="69ECAB55" w14:textId="77777777" w:rsidR="0079098A" w:rsidRDefault="0079098A" w:rsidP="0079098A">
      <w:pPr>
        <w:jc w:val="both"/>
      </w:pPr>
    </w:p>
    <w:p w14:paraId="3775D50A" w14:textId="47E020D7" w:rsidR="00D168EE" w:rsidRDefault="00B4664C" w:rsidP="0079098A">
      <w:pPr>
        <w:jc w:val="both"/>
      </w:pPr>
      <w:r>
        <w:t>Sektor silnie regulowany, w tym bankowość, ubezpieczenia, ochrona zdrowia czy energetyka, podchodzą jednak zachowawczo do technologii chmurowej. Obawy dotyczą dostosowania do przepisów prawnych, bezpieczeństwa danych czy kosztów wdrożeniowych.</w:t>
      </w:r>
      <w:r w:rsidR="00110542">
        <w:t xml:space="preserve"> </w:t>
      </w:r>
      <w:r w:rsidR="00082686">
        <w:t>Dodatkowo, w</w:t>
      </w:r>
      <w:r w:rsidR="00D168EE" w:rsidRPr="00FE3A03">
        <w:t xml:space="preserve">edług Roberta Stanikowskiego z BCG, mimo </w:t>
      </w:r>
      <w:r w:rsidR="00082686">
        <w:t xml:space="preserve">pozornie </w:t>
      </w:r>
      <w:r w:rsidR="00D168EE" w:rsidRPr="00FE3A03">
        <w:t xml:space="preserve">optymistycznych </w:t>
      </w:r>
      <w:r>
        <w:t>danych o wzroście wykorzystania technologii chmurowej</w:t>
      </w:r>
      <w:r w:rsidR="00D168EE" w:rsidRPr="00FE3A03">
        <w:t>,</w:t>
      </w:r>
      <w:r w:rsidR="00110542">
        <w:t xml:space="preserve"> </w:t>
      </w:r>
      <w:r>
        <w:t xml:space="preserve">to pod tym względem </w:t>
      </w:r>
      <w:r w:rsidR="001F5F7D">
        <w:t xml:space="preserve">Polska w porównaniu do innych krajów </w:t>
      </w:r>
      <w:r>
        <w:t xml:space="preserve">UE wciąż </w:t>
      </w:r>
      <w:r w:rsidR="00D168EE" w:rsidRPr="00FE3A03">
        <w:t>plasuje się na jednym z ostatnich miejsc</w:t>
      </w:r>
      <w:r w:rsidR="00D168EE">
        <w:rPr>
          <w:rStyle w:val="Odwoanieprzypisudolnego"/>
        </w:rPr>
        <w:footnoteReference w:id="5"/>
      </w:r>
      <w:r w:rsidR="00D168EE">
        <w:t xml:space="preserve">. </w:t>
      </w:r>
    </w:p>
    <w:p w14:paraId="3E7AAF75" w14:textId="77777777" w:rsidR="00FE3A03" w:rsidRDefault="00FE3A03" w:rsidP="0079098A">
      <w:pPr>
        <w:jc w:val="both"/>
      </w:pPr>
    </w:p>
    <w:p w14:paraId="2AB47CF4" w14:textId="1ECC4656" w:rsidR="00D41FA7" w:rsidRPr="001D6E76" w:rsidRDefault="00D168EE" w:rsidP="001D6E76">
      <w:pPr>
        <w:jc w:val="both"/>
      </w:pPr>
      <w:r w:rsidRPr="001D6E76">
        <w:t>W Polsce problem regulacyjny dostrzegła już KNF i w styczniu teg</w:t>
      </w:r>
      <w:r w:rsidR="001D6E76">
        <w:t xml:space="preserve">o roku opublikowała komunikat, </w:t>
      </w:r>
      <w:r w:rsidRPr="001D6E76">
        <w:t xml:space="preserve">dotyczący przetwarzania przez podmioty nadzorowane informacji </w:t>
      </w:r>
      <w:r w:rsidR="001D6E76" w:rsidRPr="001D6E76">
        <w:t>w chmurze obliczeniowej. Pojawiły się dzięki temu wymagania regulatora co do nadzorowanych podmiotów</w:t>
      </w:r>
      <w:r w:rsidR="001F5F7D">
        <w:t xml:space="preserve">, </w:t>
      </w:r>
      <w:r w:rsidR="001F5F7D" w:rsidRPr="001F5F7D">
        <w:t>które dały odpowiedzi na praktyczne wyzwania związane z wdrożeniem usług chmurowych w sektorze finansowym</w:t>
      </w:r>
      <w:r w:rsidR="001F5F7D">
        <w:t xml:space="preserve">. </w:t>
      </w:r>
    </w:p>
    <w:p w14:paraId="264559E5" w14:textId="77777777" w:rsidR="001F5F7D" w:rsidRDefault="001F5F7D" w:rsidP="0079098A">
      <w:pPr>
        <w:jc w:val="both"/>
        <w:rPr>
          <w:b/>
        </w:rPr>
      </w:pPr>
    </w:p>
    <w:p w14:paraId="692A5A28" w14:textId="77777777" w:rsidR="00006E1F" w:rsidRDefault="00DC5F7C" w:rsidP="0079098A">
      <w:pPr>
        <w:jc w:val="both"/>
        <w:rPr>
          <w:b/>
        </w:rPr>
      </w:pPr>
      <w:r>
        <w:rPr>
          <w:b/>
        </w:rPr>
        <w:t xml:space="preserve">Rozwiązaniem są </w:t>
      </w:r>
      <w:r w:rsidR="00FE3A03">
        <w:rPr>
          <w:b/>
        </w:rPr>
        <w:t>modele</w:t>
      </w:r>
      <w:r>
        <w:rPr>
          <w:b/>
        </w:rPr>
        <w:t xml:space="preserve"> hybrydowe</w:t>
      </w:r>
    </w:p>
    <w:p w14:paraId="18D18F3E" w14:textId="77777777" w:rsidR="00DC5F7C" w:rsidRDefault="00DC5F7C" w:rsidP="0079098A">
      <w:pPr>
        <w:jc w:val="both"/>
      </w:pPr>
    </w:p>
    <w:p w14:paraId="3A7107C7" w14:textId="582DDB2A" w:rsidR="007F675F" w:rsidRDefault="007F675F" w:rsidP="007F675F">
      <w:pPr>
        <w:jc w:val="both"/>
      </w:pPr>
      <w:r>
        <w:t xml:space="preserve">Odpowiedzią na obawy przedsiębiorców są rozwiązania hybrydowe, z których korzysta np. </w:t>
      </w:r>
      <w:r w:rsidR="00C02990">
        <w:t>n</w:t>
      </w:r>
      <w:r>
        <w:t>iemiecka kolej państ</w:t>
      </w:r>
      <w:r w:rsidR="00C02990">
        <w:t>w</w:t>
      </w:r>
      <w:r>
        <w:t xml:space="preserve">owa Deutsche </w:t>
      </w:r>
      <w:proofErr w:type="spellStart"/>
      <w:r>
        <w:t>Bahn</w:t>
      </w:r>
      <w:proofErr w:type="spellEnd"/>
      <w:r>
        <w:t xml:space="preserve">. Firma zdecydowała się przechowywać część danych w chmurze, a część pozostawić na serwerach lokalnych. </w:t>
      </w:r>
      <w:r w:rsidR="00C02990">
        <w:t>Oferująca taki podział p</w:t>
      </w:r>
      <w:r>
        <w:t xml:space="preserve">latforma Doxis4 umożliwiła optymalizację zarządzania 190 milionami dokumentów i 750 milionami obiektów informacyjnych o łącznej wielkości około 22,5 TB. </w:t>
      </w:r>
      <w:r w:rsidR="00BF149F">
        <w:t>Wykorzystanie</w:t>
      </w:r>
      <w:r>
        <w:t xml:space="preserve"> chmury hybrydowej doprowadziło również do obniżenia kosztów związanych z wynajmem powierzchni, zakupem </w:t>
      </w:r>
      <w:r w:rsidR="00BF149F">
        <w:t>papieru</w:t>
      </w:r>
      <w:r>
        <w:t xml:space="preserve"> oraz usługami pocztowymi i kurierskimi. Z drugiej strony wzrosło zadowolenie pracowników, a co za tym idzie również klientów - decyzje podejmowane są szybciej i sprawniej, zespoły mogą współpracować zdalnie i wymieniać się ustaleniami.</w:t>
      </w:r>
    </w:p>
    <w:p w14:paraId="1D44375C" w14:textId="77777777" w:rsidR="007F675F" w:rsidRDefault="007F675F" w:rsidP="007F675F">
      <w:pPr>
        <w:jc w:val="both"/>
      </w:pPr>
    </w:p>
    <w:p w14:paraId="5D0C84A2" w14:textId="77777777" w:rsidR="007F675F" w:rsidRDefault="007F675F" w:rsidP="007F675F">
      <w:pPr>
        <w:jc w:val="both"/>
      </w:pPr>
      <w:r w:rsidRPr="00BF149F">
        <w:rPr>
          <w:i/>
        </w:rPr>
        <w:t xml:space="preserve">Rozwiązania oferowane przez Grupę SER pozwalają na dostosowanie platformy Doxis4 ECM do wymagań każdego klienta. Firmom działającym w branżach ściśle regulowanych oferujemy rozwiązania hybrydowe. Dzięki temu </w:t>
      </w:r>
      <w:r w:rsidR="00BF149F" w:rsidRPr="00BF149F">
        <w:rPr>
          <w:i/>
        </w:rPr>
        <w:t>spółka</w:t>
      </w:r>
      <w:r w:rsidRPr="00BF149F">
        <w:rPr>
          <w:i/>
        </w:rPr>
        <w:t xml:space="preserve"> może wykorzystać wszystkie zalety technologii chmurowej, zapewniając jednocześnie pełną zgodność z przepisami dotyczącymi przechowywania wrażliwych danych klientów w siedzibie firmy. W przypadku Polski to rozwiązanie jest zgodne ze styczniowym komunikatem Komisji Nadzoru Finansowego </w:t>
      </w:r>
      <w:r w:rsidR="00BF149F" w:rsidRPr="00BF149F">
        <w:rPr>
          <w:i/>
        </w:rPr>
        <w:t>dotyczący przetwarzania przez podmioty nadzorowane informacji w chmurze obliczeniowej</w:t>
      </w:r>
      <w:r>
        <w:t xml:space="preserve"> - powiedział Marcin </w:t>
      </w:r>
      <w:proofErr w:type="spellStart"/>
      <w:r>
        <w:t>Somla</w:t>
      </w:r>
      <w:proofErr w:type="spellEnd"/>
      <w:r>
        <w:t xml:space="preserve">, dyrektor SER </w:t>
      </w:r>
      <w:proofErr w:type="spellStart"/>
      <w:r>
        <w:t>Group</w:t>
      </w:r>
      <w:proofErr w:type="spellEnd"/>
      <w:r>
        <w:t xml:space="preserve"> Polska.</w:t>
      </w:r>
    </w:p>
    <w:p w14:paraId="44492E3E" w14:textId="77777777" w:rsidR="007F675F" w:rsidRDefault="007F675F" w:rsidP="007F675F">
      <w:pPr>
        <w:jc w:val="both"/>
      </w:pPr>
    </w:p>
    <w:p w14:paraId="467FCFDF" w14:textId="203F0864" w:rsidR="00D41FA7" w:rsidRPr="00610923" w:rsidRDefault="007F675F" w:rsidP="007F675F">
      <w:pPr>
        <w:jc w:val="both"/>
      </w:pPr>
      <w:r>
        <w:t xml:space="preserve">Technologia chmury hybrydowej SER </w:t>
      </w:r>
      <w:proofErr w:type="spellStart"/>
      <w:r>
        <w:t>Group</w:t>
      </w:r>
      <w:proofErr w:type="spellEnd"/>
      <w:r>
        <w:t xml:space="preserve"> pozwala na dostosowanie platformy Doxis4 do oczekiwań </w:t>
      </w:r>
      <w:r w:rsidR="00BF149F">
        <w:t>spółki</w:t>
      </w:r>
      <w:r>
        <w:t xml:space="preserve">. Część danych </w:t>
      </w:r>
      <w:r w:rsidR="00C02990">
        <w:t xml:space="preserve">jest przenoszona </w:t>
      </w:r>
      <w:r>
        <w:t>do chmury, co umożliwia firmie uspr</w:t>
      </w:r>
      <w:r w:rsidR="00BF149F">
        <w:t xml:space="preserve">awnienie procesów operacyjnych i zwiększenie wydajności oraz </w:t>
      </w:r>
      <w:r>
        <w:t xml:space="preserve">oszczędności. Z drugiej strony dane </w:t>
      </w:r>
      <w:r w:rsidR="00C02990">
        <w:t xml:space="preserve">wrażliwe </w:t>
      </w:r>
      <w:r>
        <w:t>mogą być przechowywane na serwerach</w:t>
      </w:r>
      <w:r w:rsidR="00C02990" w:rsidRPr="00C02990">
        <w:t xml:space="preserve"> </w:t>
      </w:r>
      <w:r w:rsidR="00C02990">
        <w:t>lokalnych</w:t>
      </w:r>
      <w:r>
        <w:t xml:space="preserve">. To elastyczne i szyte na miarę rozwiązanie umożliwia </w:t>
      </w:r>
      <w:r w:rsidR="00BF149F">
        <w:t>spółkom</w:t>
      </w:r>
      <w:r>
        <w:t xml:space="preserve"> z ściśle regulowanego sektora </w:t>
      </w:r>
      <w:r w:rsidR="00BF149F">
        <w:t xml:space="preserve">na </w:t>
      </w:r>
      <w:r>
        <w:t xml:space="preserve">korzystanie z chmury na własnych warunkach, zapewniając pełną ochronę szczególnie wrażliwych danych. </w:t>
      </w:r>
      <w:r w:rsidR="00BF149F">
        <w:t>Przedsiębiorstwa</w:t>
      </w:r>
      <w:r>
        <w:t>, które zdecydu</w:t>
      </w:r>
      <w:r w:rsidR="0004585F">
        <w:t xml:space="preserve">ją się na rozwiązania </w:t>
      </w:r>
      <w:r>
        <w:t xml:space="preserve">hybrydowe, będą mogły nadać tempo </w:t>
      </w:r>
      <w:r w:rsidR="00E221A3">
        <w:t xml:space="preserve">własnej </w:t>
      </w:r>
      <w:r>
        <w:t>cyfryzacji. Jeśli w przyszłości zdecydują się na usługi w pełni chmurowe, będą mi</w:t>
      </w:r>
      <w:r w:rsidR="00E221A3">
        <w:t>ały</w:t>
      </w:r>
      <w:r>
        <w:t xml:space="preserve"> już gotową infrastrukturę, która pozwoli im zoptymalizować wydatki na IT.</w:t>
      </w:r>
    </w:p>
    <w:sectPr w:rsidR="00D41FA7" w:rsidRPr="0061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91463" w14:textId="77777777" w:rsidR="006714E7" w:rsidRDefault="006714E7" w:rsidP="0098301A">
      <w:r>
        <w:separator/>
      </w:r>
    </w:p>
  </w:endnote>
  <w:endnote w:type="continuationSeparator" w:id="0">
    <w:p w14:paraId="088F75D9" w14:textId="77777777" w:rsidR="006714E7" w:rsidRDefault="006714E7" w:rsidP="0098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01A18" w14:textId="77777777" w:rsidR="006714E7" w:rsidRDefault="006714E7" w:rsidP="0098301A">
      <w:r>
        <w:separator/>
      </w:r>
    </w:p>
  </w:footnote>
  <w:footnote w:type="continuationSeparator" w:id="0">
    <w:p w14:paraId="51C51EE3" w14:textId="77777777" w:rsidR="006714E7" w:rsidRDefault="006714E7" w:rsidP="0098301A">
      <w:r>
        <w:continuationSeparator/>
      </w:r>
    </w:p>
  </w:footnote>
  <w:footnote w:id="1">
    <w:p w14:paraId="1FA74F2E" w14:textId="77777777" w:rsidR="00110542" w:rsidRPr="001F5F7D" w:rsidRDefault="00110542" w:rsidP="00110542">
      <w:pPr>
        <w:pStyle w:val="Tekstprzypisudolnego"/>
        <w:rPr>
          <w:sz w:val="16"/>
          <w:szCs w:val="16"/>
        </w:rPr>
      </w:pPr>
      <w:r w:rsidRPr="001F5F7D">
        <w:rPr>
          <w:rStyle w:val="Odwoanieprzypisudolnego"/>
          <w:sz w:val="16"/>
          <w:szCs w:val="16"/>
        </w:rPr>
        <w:footnoteRef/>
      </w:r>
      <w:r w:rsidRPr="001F5F7D">
        <w:rPr>
          <w:sz w:val="16"/>
          <w:szCs w:val="16"/>
        </w:rPr>
        <w:t xml:space="preserve"> </w:t>
      </w:r>
      <w:hyperlink r:id="rId1" w:history="1">
        <w:r w:rsidRPr="001F5F7D">
          <w:rPr>
            <w:rStyle w:val="Hipercze"/>
            <w:sz w:val="16"/>
            <w:szCs w:val="16"/>
          </w:rPr>
          <w:t>https://www2.deloitte.com/pl/pl/pages/press-releases/articles/rynek-uslug-w-chmurze-odporny-na-skutki-kryzysu-wywolanego-pandemia.html?nc=1</w:t>
        </w:r>
      </w:hyperlink>
      <w:r w:rsidRPr="001F5F7D">
        <w:rPr>
          <w:sz w:val="16"/>
          <w:szCs w:val="16"/>
        </w:rPr>
        <w:t xml:space="preserve"> </w:t>
      </w:r>
    </w:p>
  </w:footnote>
  <w:footnote w:id="2">
    <w:p w14:paraId="288ADA73" w14:textId="77777777" w:rsidR="0098301A" w:rsidRPr="001F5F7D" w:rsidRDefault="0098301A" w:rsidP="0098301A">
      <w:pPr>
        <w:rPr>
          <w:sz w:val="16"/>
          <w:szCs w:val="16"/>
        </w:rPr>
      </w:pPr>
      <w:r w:rsidRPr="001F5F7D">
        <w:rPr>
          <w:rStyle w:val="Odwoanieprzypisudolnego"/>
          <w:sz w:val="16"/>
          <w:szCs w:val="16"/>
        </w:rPr>
        <w:footnoteRef/>
      </w:r>
      <w:r w:rsidRPr="001F5F7D">
        <w:rPr>
          <w:sz w:val="16"/>
          <w:szCs w:val="16"/>
        </w:rPr>
        <w:t xml:space="preserve"> </w:t>
      </w:r>
      <w:hyperlink r:id="rId2" w:history="1">
        <w:r w:rsidRPr="001F5F7D">
          <w:rPr>
            <w:rStyle w:val="Hipercze"/>
            <w:sz w:val="16"/>
            <w:szCs w:val="16"/>
          </w:rPr>
          <w:t>https://www.gartner.com/en/newsroom/press-releases/2019-11-13-gartner-forecasts-worldwide-public-cloud-revenue-to-grow-17-percent-in-2020</w:t>
        </w:r>
      </w:hyperlink>
      <w:r w:rsidRPr="001F5F7D">
        <w:rPr>
          <w:sz w:val="16"/>
          <w:szCs w:val="16"/>
        </w:rPr>
        <w:t xml:space="preserve"> </w:t>
      </w:r>
    </w:p>
  </w:footnote>
  <w:footnote w:id="3">
    <w:p w14:paraId="71EB485D" w14:textId="77777777" w:rsidR="0098301A" w:rsidRPr="001F5F7D" w:rsidRDefault="0098301A" w:rsidP="0098301A">
      <w:pPr>
        <w:rPr>
          <w:sz w:val="16"/>
          <w:szCs w:val="16"/>
          <w:lang w:val="en-US"/>
        </w:rPr>
      </w:pPr>
      <w:r w:rsidRPr="001F5F7D">
        <w:rPr>
          <w:rStyle w:val="Odwoanieprzypisudolnego"/>
          <w:sz w:val="16"/>
          <w:szCs w:val="16"/>
        </w:rPr>
        <w:footnoteRef/>
      </w:r>
      <w:r w:rsidRPr="001F5F7D">
        <w:rPr>
          <w:sz w:val="16"/>
          <w:szCs w:val="16"/>
          <w:lang w:val="en-US"/>
        </w:rPr>
        <w:t xml:space="preserve"> </w:t>
      </w:r>
      <w:hyperlink r:id="rId3" w:history="1">
        <w:r w:rsidRPr="001F5F7D">
          <w:rPr>
            <w:rStyle w:val="Hipercze"/>
            <w:sz w:val="16"/>
            <w:szCs w:val="16"/>
            <w:lang w:val="en-US"/>
          </w:rPr>
          <w:t>https://www.researchandmarkets.com/reports/5136796/cloud-computing-market-by-service-model?utm_source=GNOM&amp;utm_medium=PressRelease&amp;utm_code=8vg2fl&amp;utm_campaign=1428189+-+Cloud+Computing+Industry+to+Grow+from+</w:t>
        </w:r>
        <w:r w:rsidR="00822C3F" w:rsidRPr="001F5F7D">
          <w:rPr>
            <w:rStyle w:val="Hipercze"/>
            <w:sz w:val="16"/>
            <w:szCs w:val="16"/>
            <w:lang w:val="en-US"/>
          </w:rPr>
          <w:t xml:space="preserve"> proc.</w:t>
        </w:r>
        <w:r w:rsidRPr="001F5F7D">
          <w:rPr>
            <w:rStyle w:val="Hipercze"/>
            <w:sz w:val="16"/>
            <w:szCs w:val="16"/>
            <w:lang w:val="en-US"/>
          </w:rPr>
          <w:t>24371.4+Billion+in+2020+to+</w:t>
        </w:r>
        <w:r w:rsidR="00822C3F" w:rsidRPr="001F5F7D">
          <w:rPr>
            <w:rStyle w:val="Hipercze"/>
            <w:sz w:val="16"/>
            <w:szCs w:val="16"/>
            <w:lang w:val="en-US"/>
          </w:rPr>
          <w:t xml:space="preserve"> proc.</w:t>
        </w:r>
        <w:r w:rsidRPr="001F5F7D">
          <w:rPr>
            <w:rStyle w:val="Hipercze"/>
            <w:sz w:val="16"/>
            <w:szCs w:val="16"/>
            <w:lang w:val="en-US"/>
          </w:rPr>
          <w:t>24832.1+Billion+by+2025</w:t>
        </w:r>
        <w:r w:rsidR="00822C3F" w:rsidRPr="001F5F7D">
          <w:rPr>
            <w:rStyle w:val="Hipercze"/>
            <w:sz w:val="16"/>
            <w:szCs w:val="16"/>
            <w:lang w:val="en-US"/>
          </w:rPr>
          <w:t xml:space="preserve"> proc.</w:t>
        </w:r>
        <w:r w:rsidRPr="001F5F7D">
          <w:rPr>
            <w:rStyle w:val="Hipercze"/>
            <w:sz w:val="16"/>
            <w:szCs w:val="16"/>
            <w:lang w:val="en-US"/>
          </w:rPr>
          <w:t>2c+at+a+CAGR+of+17.5</w:t>
        </w:r>
        <w:r w:rsidR="00822C3F" w:rsidRPr="001F5F7D">
          <w:rPr>
            <w:rStyle w:val="Hipercze"/>
            <w:sz w:val="16"/>
            <w:szCs w:val="16"/>
            <w:lang w:val="en-US"/>
          </w:rPr>
          <w:t xml:space="preserve"> proc.</w:t>
        </w:r>
        <w:r w:rsidRPr="001F5F7D">
          <w:rPr>
            <w:rStyle w:val="Hipercze"/>
            <w:sz w:val="16"/>
            <w:szCs w:val="16"/>
            <w:lang w:val="en-US"/>
          </w:rPr>
          <w:t>25&amp;utm_exec=joca220prd</w:t>
        </w:r>
      </w:hyperlink>
      <w:r w:rsidRPr="001F5F7D">
        <w:rPr>
          <w:sz w:val="16"/>
          <w:szCs w:val="16"/>
          <w:lang w:val="en-US"/>
        </w:rPr>
        <w:t xml:space="preserve"> </w:t>
      </w:r>
    </w:p>
  </w:footnote>
  <w:footnote w:id="4">
    <w:p w14:paraId="2BE887E2" w14:textId="5093EFC5" w:rsidR="009F11E1" w:rsidRPr="009F11E1" w:rsidRDefault="009F11E1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F11E1">
        <w:rPr>
          <w:lang w:val="en-US"/>
        </w:rPr>
        <w:t xml:space="preserve"> </w:t>
      </w:r>
      <w:hyperlink r:id="rId4" w:history="1">
        <w:r w:rsidRPr="00360CD1">
          <w:rPr>
            <w:rStyle w:val="Hipercze"/>
            <w:sz w:val="16"/>
            <w:szCs w:val="16"/>
            <w:lang w:val="en-US"/>
          </w:rPr>
          <w:t>https://www.computerworld.pl/news/Chmura-w-Polsce-1-4-miliarda-powodow-do-optymizmu,421875.html</w:t>
        </w:r>
      </w:hyperlink>
    </w:p>
  </w:footnote>
  <w:footnote w:id="5">
    <w:p w14:paraId="4F1190D6" w14:textId="77777777" w:rsidR="00D168EE" w:rsidRPr="001F5F7D" w:rsidRDefault="00D168EE">
      <w:pPr>
        <w:pStyle w:val="Tekstprzypisudolnego"/>
        <w:rPr>
          <w:sz w:val="16"/>
          <w:szCs w:val="16"/>
          <w:lang w:val="en-US"/>
        </w:rPr>
      </w:pPr>
      <w:r w:rsidRPr="001F5F7D">
        <w:rPr>
          <w:rStyle w:val="Odwoanieprzypisudolnego"/>
          <w:sz w:val="16"/>
          <w:szCs w:val="16"/>
        </w:rPr>
        <w:footnoteRef/>
      </w:r>
      <w:r w:rsidRPr="001F5F7D">
        <w:rPr>
          <w:sz w:val="16"/>
          <w:szCs w:val="16"/>
          <w:lang w:val="en-US"/>
        </w:rPr>
        <w:t xml:space="preserve"> </w:t>
      </w:r>
      <w:hyperlink r:id="rId5" w:history="1">
        <w:r w:rsidRPr="001F5F7D">
          <w:rPr>
            <w:rStyle w:val="Hipercze"/>
            <w:sz w:val="16"/>
            <w:szCs w:val="16"/>
            <w:lang w:val="en-US"/>
          </w:rPr>
          <w:t>https://www.money.pl/gielda/bcg-rynek-cloud-computing-w-polsce-bedzie-rosl-o-15-20-rocznie-6572665177995393a.html</w:t>
        </w:r>
      </w:hyperlink>
      <w:r w:rsidRPr="001F5F7D">
        <w:rPr>
          <w:sz w:val="16"/>
          <w:szCs w:val="16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41618"/>
    <w:multiLevelType w:val="hybridMultilevel"/>
    <w:tmpl w:val="73308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D14E2"/>
    <w:multiLevelType w:val="hybridMultilevel"/>
    <w:tmpl w:val="9AD2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B6"/>
    <w:rsid w:val="000042AA"/>
    <w:rsid w:val="00006E1F"/>
    <w:rsid w:val="0004585F"/>
    <w:rsid w:val="0005674F"/>
    <w:rsid w:val="00067216"/>
    <w:rsid w:val="00082686"/>
    <w:rsid w:val="00110542"/>
    <w:rsid w:val="00114A35"/>
    <w:rsid w:val="001D3C6A"/>
    <w:rsid w:val="001D6E76"/>
    <w:rsid w:val="001F5F7D"/>
    <w:rsid w:val="002966AB"/>
    <w:rsid w:val="003C123D"/>
    <w:rsid w:val="00434652"/>
    <w:rsid w:val="004A11A6"/>
    <w:rsid w:val="005053B6"/>
    <w:rsid w:val="00610923"/>
    <w:rsid w:val="006714E7"/>
    <w:rsid w:val="0075304E"/>
    <w:rsid w:val="0079098A"/>
    <w:rsid w:val="00794763"/>
    <w:rsid w:val="007F675F"/>
    <w:rsid w:val="00804F22"/>
    <w:rsid w:val="00822C3F"/>
    <w:rsid w:val="008A4F03"/>
    <w:rsid w:val="0098301A"/>
    <w:rsid w:val="009F11E1"/>
    <w:rsid w:val="00A55EF8"/>
    <w:rsid w:val="00B4664C"/>
    <w:rsid w:val="00B56A93"/>
    <w:rsid w:val="00BF149F"/>
    <w:rsid w:val="00C02990"/>
    <w:rsid w:val="00C1372D"/>
    <w:rsid w:val="00C2062F"/>
    <w:rsid w:val="00C23859"/>
    <w:rsid w:val="00C265D4"/>
    <w:rsid w:val="00C37AA2"/>
    <w:rsid w:val="00CE3EA5"/>
    <w:rsid w:val="00D168EE"/>
    <w:rsid w:val="00D41FA7"/>
    <w:rsid w:val="00D53CB6"/>
    <w:rsid w:val="00DC5F7C"/>
    <w:rsid w:val="00E221A3"/>
    <w:rsid w:val="00E5189D"/>
    <w:rsid w:val="00F8399C"/>
    <w:rsid w:val="00FC2A67"/>
    <w:rsid w:val="00F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ED97"/>
  <w15:chartTrackingRefBased/>
  <w15:docId w15:val="{9B6E7B46-B9C8-47B7-BBC7-BE2CF609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3B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10923"/>
    <w:rPr>
      <w:i/>
      <w:iCs/>
    </w:rPr>
  </w:style>
  <w:style w:type="paragraph" w:styleId="Akapitzlist">
    <w:name w:val="List Paragraph"/>
    <w:basedOn w:val="Normalny"/>
    <w:uiPriority w:val="34"/>
    <w:qFormat/>
    <w:rsid w:val="006109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0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01A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01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301A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168E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8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8EE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68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2C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2C3F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C3F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C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searchandmarkets.com/reports/5136796/cloud-computing-market-by-service-model?utm_source=GNOM&amp;utm_medium=PressRelease&amp;utm_code=8vg2fl&amp;utm_campaign=1428189+-+Cloud+Computing+Industry+to+Grow+from+%24371.4+Billion+in+2020+to+%24832.1+Billion+by+2025%2c+at+a+CAGR+of+17.5%25&amp;utm_exec=joca220prd" TargetMode="External"/><Relationship Id="rId2" Type="http://schemas.openxmlformats.org/officeDocument/2006/relationships/hyperlink" Target="https://www.gartner.com/en/newsroom/press-releases/2019-11-13-gartner-forecasts-worldwide-public-cloud-revenue-to-grow-17-percent-in-2020" TargetMode="External"/><Relationship Id="rId1" Type="http://schemas.openxmlformats.org/officeDocument/2006/relationships/hyperlink" Target="https://www2.deloitte.com/pl/pl/pages/press-releases/articles/rynek-uslug-w-chmurze-odporny-na-skutki-kryzysu-wywolanego-pandemia.html?nc=1" TargetMode="External"/><Relationship Id="rId5" Type="http://schemas.openxmlformats.org/officeDocument/2006/relationships/hyperlink" Target="https://www.money.pl/gielda/bcg-rynek-cloud-computing-w-polsce-bedzie-rosl-o-15-20-rocznie-6572665177995393a.html" TargetMode="External"/><Relationship Id="rId4" Type="http://schemas.openxmlformats.org/officeDocument/2006/relationships/hyperlink" Target="https://www.computerworld.pl/news/Chmura-w-Polsce-1-4-miliarda-powodow-do-optymizmu,421875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9B3C-9B4C-49EA-AA3B-2760F25C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Pydzikova</dc:creator>
  <cp:keywords/>
  <dc:description/>
  <cp:lastModifiedBy>Zuzanna Pydzikova</cp:lastModifiedBy>
  <cp:revision>9</cp:revision>
  <dcterms:created xsi:type="dcterms:W3CDTF">2020-12-15T14:04:00Z</dcterms:created>
  <dcterms:modified xsi:type="dcterms:W3CDTF">2020-12-16T10:19:00Z</dcterms:modified>
</cp:coreProperties>
</file>