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3775"/>
        <w:gridCol w:w="5297"/>
      </w:tblGrid>
      <w:tr>
        <w:trPr>
          <w:trHeight w:val="1" w:hRule="atLeast"/>
          <w:jc w:val="left"/>
          <w:cantSplit w:val="1"/>
        </w:trPr>
        <w:tc>
          <w:tcPr>
            <w:tcW w:w="3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-23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Informacja prasowa</w:t>
            </w:r>
          </w:p>
        </w:tc>
        <w:tc>
          <w:tcPr>
            <w:tcW w:w="52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264" w:dyaOrig="1296">
                <v:rect xmlns:o="urn:schemas-microsoft-com:office:office" xmlns:v="urn:schemas-microsoft-com:vml" id="rectole0000000000" style="width:263.200000pt;height:64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75" w:type="dxa"/>
            <w:tcBorders>
              <w:top w:val="single" w:color="000000" w:sz="0"/>
              <w:left w:val="single" w:color="000000" w:sz="0"/>
              <w:bottom w:val="single" w:color="80808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7" w:type="dxa"/>
            <w:tcBorders>
              <w:top w:val="single" w:color="000000" w:sz="0"/>
              <w:left w:val="single" w:color="000000" w:sz="0"/>
              <w:bottom w:val="single" w:color="80808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-127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64"/>
        <w:ind w:right="0" w:left="0" w:firstLine="0"/>
        <w:jc w:val="both"/>
        <w:rPr>
          <w:rFonts w:ascii="Verdana" w:hAnsi="Verdana" w:cs="Verdana" w:eastAsia="Verdana"/>
          <w:color w:val="367C2B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Contact:</w:t>
        <w:br/>
        <w:t xml:space="preserve">Jen Hartmann</w:t>
        <w:br/>
        <w:t xml:space="preserve">Director, Public Relations</w:t>
        <w:br/>
      </w:r>
      <w:hyperlink xmlns:r="http://schemas.openxmlformats.org/officeDocument/2006/relationships" r:id="docRId2">
        <w:r>
          <w:rPr>
            <w:rFonts w:ascii="Verdana" w:hAnsi="Verdana" w:cs="Verdana" w:eastAsia="Verdana"/>
            <w:color w:val="367C2B"/>
            <w:spacing w:val="0"/>
            <w:position w:val="0"/>
            <w:sz w:val="22"/>
            <w:u w:val="single"/>
            <w:shd w:fill="auto" w:val="clear"/>
          </w:rPr>
          <w:t xml:space="preserve">HartmannJenniferA@JohnDeere.com</w:t>
        </w:r>
      </w:hyperlink>
      <w:r>
        <w:rPr>
          <w:rFonts w:ascii="Verdana" w:hAnsi="Verdana" w:cs="Verdana" w:eastAsia="Verdana"/>
          <w:color w:val="367C2B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120" w:line="264"/>
        <w:ind w:right="0" w:left="0" w:firstLine="0"/>
        <w:jc w:val="both"/>
        <w:rPr>
          <w:rFonts w:ascii="Verdana" w:hAnsi="Verdana" w:cs="Verdana" w:eastAsia="Verdana"/>
          <w:color w:val="367C2B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John Deere zwyci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ęzcą nagrody Best of Innovation w kategoriach Robotics i Intelligence &amp; Transportation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MOLINE, Illinois (19 listopada 2021)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John Deere zdoby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 CES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® 2022 Innovation Awards Best of Innovation w kategoriach "Robotics" i "Vehicle Intelligence &amp; Transportation". John Deere po raz trzeci otrzyma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 nagrodę od stowarzyszenia Consumer Technology Association (CTA). Stowarzyszenie nagradza wyr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żniający się design i inżynierię produkt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technologii 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żytkowej. Stowarzyszenie ogłosiło wynik przed rozpoczęciem CES 2022, najbardziej wpływowego wydarzenia świata technologii, 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óre odb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ędzie się w dniach 5-8 stycznia w Las Vegas w Nevadzie, a także online.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John Deere zosta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 wyr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żniony nagrodą Innovation Award w dw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óch kategoriach za technologi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 See &amp; Spray.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See &amp; Spray to zaawansowane technologicznie rozwi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ązanie robotyki branży rolniczej. Wpływa na rozpoznawanie obraz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przez maszyn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 rolniczą i uczenie się wykrywania 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żnicy pomiędzy roślinami a chwastami, a także na precyzyjną aplikację środk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chwastobójczych. Technologia zarz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ądzania rozpoznawaniem roślin gwarantuje zysk rolnikowi oraz środowisku naturalnemu.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żliwości technologiczne w rolnictwie inspirują nas do rozwijania nowatorskich smart-urządzeń, system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i rozwi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ązań. Pozwolą zająć się każdą rośliną z osobna. Jednocześnie możemy wspierać naszych klient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ów”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m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 Jahmy Hindman, Chief Technology Officer w John Deere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John Deere stoi na czele innowacji. Dzi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ęki technologii takiej jak See &amp; Spray pomagamy naszym klientom w maksymalizacji zr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żonego rozwoju. Wspieramy rentowność, produktywność i widoczności, aby mogli skupić się na wytworzeniu pożywienia dla wciąż rosnącej, globalnej ludzkiej populacji”.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See &amp; Spray wykorzystuje uczenie maszynowe (deep learning), kamery i robotyk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ę, aby odr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żnić rośliny od chwast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ów. Przysz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łość tej technologii to klucz do indywidualnego traktowania każdej rośliny i zapewniania jej dokładnie tego, czego w danym momencie potrzebuje. To sprawia, że wykorzystanie środk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ochrony ro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ślin jest bardziej wydajne, pozwala też chronić ziemię i rośliny i otrzymywać zdrowsze uprawy.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Kategoria Robotics dotyczy maszyn programowalnych lub o innej formie inteligencji, zdolnych do wykonywania konkretnych zada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ń lub odtwarzania ludzkiego ruchu i sposobu interakcji. 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 kolei kategoria Vehicle Intelligence &amp; Transportation wyró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żnia produkty motoryzacyjne i transportowe. Wyr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żnia 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 usługi, 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óre integruj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 technologię prowadzenia maszyn. Produkty są oceniane przez kapitułę konkursu, w skład 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órej wchodz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 projektanci, inżynierowie i przedstawiciele medi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zajmuj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ących się technologią. Produkty są oceniane za inżynierię, funkcjonalność, estetykę i design, a także za to, co czyni je unikatowymi i innowacyjnymi. Produkty z najwyższą punktacją otrzymują tytuł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Best of Innovation”.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Nagrody CES Innovation Awards 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 wręczane na podstawie oceny materiał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opisowych dostarczonych 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ędziom jury. CTA nie weryfikowało trafności 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óregokolwiek zg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łoszenia. CTA nie weryfikowało założeń dotyczących produkt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i nie testowa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ło maszyn, 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órym zosta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ła wręczona nagroda.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O John Deere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Deere &amp; Company (</w:t>
      </w:r>
      <w:hyperlink xmlns:r="http://schemas.openxmlformats.org/officeDocument/2006/relationships" r:id="docRId3">
        <w:r>
          <w:rPr>
            <w:rFonts w:ascii="Verdana" w:hAnsi="Verdana" w:cs="Verdana" w:eastAsia="Verdana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www.Deere.pl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) to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światowy lider dostarczający zaawansowane produkty, technologię i usługi dla klient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ów, których dzia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łalność rewolucjonizuje rolnictwo i budownictwo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tych, kt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órzy uprawiaj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 i zbierają plony, przekształcają i wzbogacają ziemię, by sprostać wciąż zwiększającej się, globalnej potrzebie dostępu do żywności, paliwa, schronienia i infrastruktury.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20" w:line="276"/>
        <w:ind w:right="-108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deere.pl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HartmannJenniferA@JohnDeere.com" Id="docRId2" Type="http://schemas.openxmlformats.org/officeDocument/2006/relationships/hyperlink" /><Relationship Target="numbering.xml" Id="docRId4" Type="http://schemas.openxmlformats.org/officeDocument/2006/relationships/numbering" /></Relationships>
</file>