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1666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Warszawa,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grudnia 2021 roku</w:t>
      </w:r>
    </w:p>
    <w:p w14:paraId="718E1F51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Informacja prasowa</w:t>
      </w:r>
    </w:p>
    <w:p w14:paraId="64C9C20B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e-Izba rozpoczyna współpracę z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Kinguin</w:t>
      </w:r>
      <w:proofErr w:type="spellEnd"/>
    </w:p>
    <w:p w14:paraId="2B2613C3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Izba Gospodarki Elektronicznej wkracza w świat gier </w:t>
      </w:r>
      <w:r>
        <w:rPr>
          <w:rFonts w:ascii="Arial" w:eastAsia="Arial" w:hAnsi="Arial" w:cs="Arial"/>
          <w:b/>
          <w:sz w:val="22"/>
          <w:szCs w:val="22"/>
        </w:rPr>
        <w:t>wideo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oraz e-sportu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nawiąz</w:t>
      </w:r>
      <w:r>
        <w:rPr>
          <w:rFonts w:ascii="Arial" w:eastAsia="Arial" w:hAnsi="Arial" w:cs="Arial"/>
          <w:b/>
          <w:sz w:val="22"/>
          <w:szCs w:val="22"/>
        </w:rPr>
        <w:t>ując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współpracę z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Kinguin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pierwszym globalnym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marketplacem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dla graczy. Współpracę zainicjuje spotkanie eksperckie dla firm z branży e-commerce na temat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gamingu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 NFT. </w:t>
      </w:r>
    </w:p>
    <w:p w14:paraId="6ED0EBAA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Kinguin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został założony w 2013 roku i jest najbardziej znany z cyfrowej platformy handlowej Kinguin.net. Firma wyrasta na lidera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gamingu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 polskim rynku e-commerce</w:t>
      </w:r>
      <w:r>
        <w:rPr>
          <w:rFonts w:ascii="Arial" w:eastAsia="Arial" w:hAnsi="Arial" w:cs="Arial"/>
          <w:sz w:val="22"/>
          <w:szCs w:val="22"/>
        </w:rPr>
        <w:t>, mając obecnie ponad 10 milionów zarejestrowanych użytkowników z ponad 240 krajów.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Tylko w </w:t>
      </w:r>
      <w:r>
        <w:rPr>
          <w:rFonts w:ascii="Arial" w:eastAsia="Arial" w:hAnsi="Arial" w:cs="Arial"/>
          <w:color w:val="000000"/>
          <w:sz w:val="22"/>
          <w:szCs w:val="22"/>
        </w:rPr>
        <w:t>2020 roku platforma odnotowała 20-procentowy wzrost liczby użytkowników – w ciągu 12 miesięcy przybyło 1 825 453 klientów, co ma związek z rosnącym zainteresowaniem cyfrowymi edycjami gier wideo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FEDD211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Jest nam niezmiernie miło, że możemy dołączyć do Izby Gos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podarki Elektronicznej.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Kinguin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to jeden z globalnych liderów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gamingu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w obszarze e-commerce. Nasz model biznesowy opiera się na takich samych zasadach co Amazon, Ebay czy lokalne Allegro. Również jesteśmy platformą cyfrową, łączącą sprzedających z kupujący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mi na całym świecie, z tą różnicą, że nasze produkty są wyłącznie cyfrowe. Jako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Kinguin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pragniemy wnieść do e-Izby know-how z obszaru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gamingu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oraz nowych technologii, włączając w to NFT, który aktywnie rozwijamy, począwszy od maja tego roku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– powiedział 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bert Kalbarczyk, Chief Operating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Officer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Kinguin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41A0B303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Rynek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gamingowy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jest jedną z najszybciej rozwijających się segmentów  polskiej branży rozrywkowej. Dołączenie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Kinguin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do e-Izby otwiera naszą organizację na nowy prężnie rozwijający się obszar gospodarki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elektronicznej. Już niedługo opublikujemy plany działania oraz propozycje dla branży gier </w:t>
      </w:r>
      <w:r>
        <w:rPr>
          <w:rFonts w:ascii="Arial" w:eastAsia="Arial" w:hAnsi="Arial" w:cs="Arial"/>
          <w:i/>
          <w:sz w:val="22"/>
          <w:szCs w:val="22"/>
        </w:rPr>
        <w:t>wideo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podsumowała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Patrycja Sass-Staniszewska, Prezes Izby Gospodarki Elektronicznej.</w:t>
      </w:r>
    </w:p>
    <w:p w14:paraId="4D0055F4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styczniu 2022 roku w </w:t>
      </w:r>
      <w:hyperlink r:id="rId8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Kinguin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Esports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Performance Center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w Warszawie, zostanie zorganizowane spotkanie eksperckie dla firm z branży e-commerce na temat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gamingu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oraz nowych </w:t>
      </w:r>
      <w:r>
        <w:rPr>
          <w:rFonts w:ascii="Arial" w:eastAsia="Arial" w:hAnsi="Arial" w:cs="Arial"/>
          <w:sz w:val="22"/>
          <w:szCs w:val="22"/>
        </w:rPr>
        <w:t>technologii</w:t>
      </w:r>
      <w:r>
        <w:rPr>
          <w:rFonts w:ascii="Arial" w:eastAsia="Arial" w:hAnsi="Arial" w:cs="Arial"/>
          <w:color w:val="000000"/>
          <w:sz w:val="22"/>
          <w:szCs w:val="22"/>
        </w:rPr>
        <w:t>. Głównym tematem wydarzenia będzie rynek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tokenów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NFT (Non-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Fungible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Token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który </w:t>
      </w:r>
      <w:r>
        <w:rPr>
          <w:rFonts w:ascii="Arial" w:eastAsia="Arial" w:hAnsi="Arial" w:cs="Arial"/>
          <w:sz w:val="22"/>
          <w:szCs w:val="22"/>
        </w:rPr>
        <w:t>w ostatnim czasie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niewiarygodnie szybko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zyskuje na popularnoś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zaledwie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początek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blockchainowej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rewolucji, która w pierwszej połowie 2021 roku doprowadziła do sprzedaży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tokenów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NFT o łącznej wartości przekracza</w:t>
      </w:r>
      <w:r>
        <w:rPr>
          <w:rFonts w:ascii="Arial" w:eastAsia="Arial" w:hAnsi="Arial" w:cs="Arial"/>
          <w:color w:val="000000"/>
          <w:sz w:val="22"/>
          <w:szCs w:val="22"/>
        </w:rPr>
        <w:t>jącej 2.5 miliarda dolarów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NFT to niewymienialny, niezmienny technicznie, niemożliwy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zhakowania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certyfikat, który  może przybierać różne formy, np. zdjęcia, filmu czy też pliku tekstowego. NFT jest certyfikatem potwierdzającym, że dany plik to orygin</w:t>
      </w:r>
      <w:r>
        <w:rPr>
          <w:rFonts w:ascii="Arial" w:eastAsia="Arial" w:hAnsi="Arial" w:cs="Arial"/>
          <w:color w:val="000000"/>
          <w:sz w:val="22"/>
          <w:szCs w:val="22"/>
        </w:rPr>
        <w:t>ał istniejący tylko w jednej kopii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Według raportu platformy analitycznej </w:t>
      </w:r>
      <w:proofErr w:type="spellStart"/>
      <w:r>
        <w:rPr>
          <w:rFonts w:ascii="Arial" w:eastAsia="Arial" w:hAnsi="Arial" w:cs="Arial"/>
          <w:sz w:val="22"/>
          <w:szCs w:val="22"/>
        </w:rPr>
        <w:t>DappRadar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wolumen transakcji NFT, wzrósł w trzecim kwartale 2021 r. do 10,7 miliarda dolarów. To aż 704% wzrost w stosunku do poprzedniego kwartału.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4"/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0EE3FA5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Kontakt dla mediów</w:t>
      </w:r>
    </w:p>
    <w:p w14:paraId="17144D0B" w14:textId="0404E4A0" w:rsidR="00066CD3" w:rsidRPr="008B527F" w:rsidRDefault="00832A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Marta Zagożdżon</w:t>
      </w:r>
      <w:r w:rsidR="008B527F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Rzecznik Prasowy</w:t>
      </w:r>
      <w:r w:rsidR="008B527F">
        <w:rPr>
          <w:rFonts w:ascii="Arial" w:eastAsia="Arial" w:hAnsi="Arial" w:cs="Arial"/>
          <w:color w:val="000000"/>
          <w:sz w:val="20"/>
          <w:szCs w:val="20"/>
          <w:highlight w:val="white"/>
        </w:rPr>
        <w:t>, 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-mail: </w:t>
      </w:r>
      <w:r w:rsidR="008B527F" w:rsidRPr="008B527F">
        <w:rPr>
          <w:rFonts w:ascii="Arial" w:eastAsia="Arial" w:hAnsi="Arial" w:cs="Arial"/>
          <w:sz w:val="20"/>
          <w:szCs w:val="20"/>
        </w:rPr>
        <w:t xml:space="preserve">rzecznikprasowy@eizba.pl, tel. 605 073 929 </w:t>
      </w:r>
    </w:p>
    <w:p w14:paraId="00DC5EB0" w14:textId="77777777" w:rsidR="00066CD3" w:rsidRDefault="00832A49">
      <w:pP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br w:type="page"/>
      </w:r>
    </w:p>
    <w:p w14:paraId="2129488D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lastRenderedPageBreak/>
        <w:t>O Izbie Gospodarki Elektronicznej</w:t>
      </w:r>
    </w:p>
    <w:p w14:paraId="47D10F0F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Izba Gospodarki Elektronicznej reprezentuje i wspiera interesy firm związanych z rynkiem gospodarki elektronicznej w Polsce,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>ze szczególnym uwzględnieniem firm zrzeszonych w e-Izbie. Misją e-Izby jest rozwój polskiej branży gospodarki cyfrowej poprzez wsp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ółpracę, wymianę know-how, działania legislacyjne oraz silną i efektywną reprezentację wspólnych interesów w dialogu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 xml:space="preserve">z instytucjami polskiej administracji rządowej, Unii Europejskiej oraz organizacjami pozarządowymi w kraju i na świecie. </w:t>
      </w:r>
    </w:p>
    <w:p w14:paraId="3A3B7C84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Główne cele Izby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Gospodarki Elektronicznej to:</w:t>
      </w:r>
    </w:p>
    <w:p w14:paraId="1724AFD1" w14:textId="77777777" w:rsidR="00066CD3" w:rsidRDefault="0083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reprezentowanie i wspieranie interesów gospodarczych firm związanych z rynkiem gospodarki elektronicznej w Polsce, ze szczególnym uwzględnieniem firm zrzeszonych w Izbie,</w:t>
      </w:r>
    </w:p>
    <w:p w14:paraId="7579B2EC" w14:textId="77777777" w:rsidR="00066CD3" w:rsidRDefault="0083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rozwój gospodarki w różnych jej branżach w kraju i Eur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opie dzięki wykorzystaniu innowacji technologicznych, informacyjnych i komunikacyjnych (ICT), w tym sieci Internet oraz sprzętu i oprogramowania oraz ich praktycznych zastosowań w prowadzeniu działalności gospodarczej,</w:t>
      </w:r>
    </w:p>
    <w:p w14:paraId="58D20B4F" w14:textId="77777777" w:rsidR="00066CD3" w:rsidRDefault="0083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wspieranie przedsiębiorców poprzez do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starczanie wiedzy (know-how) oraz rozwiązań technologicznych,</w:t>
      </w:r>
    </w:p>
    <w:p w14:paraId="0D08AE0B" w14:textId="77777777" w:rsidR="00066CD3" w:rsidRDefault="0083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wspieranie społeczeństwa w korzystaniu z rozwiązań cyfrowych.</w:t>
      </w:r>
    </w:p>
    <w:p w14:paraId="21099565" w14:textId="77777777" w:rsidR="00066CD3" w:rsidRDefault="00066C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white"/>
        </w:rPr>
      </w:pPr>
    </w:p>
    <w:p w14:paraId="07B4FC6A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 xml:space="preserve">O </w:t>
      </w:r>
      <w:proofErr w:type="spellStart"/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Kinguin</w:t>
      </w:r>
      <w:proofErr w:type="spellEnd"/>
    </w:p>
    <w:p w14:paraId="4544353D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Kinguin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to pierwszy na świecie globalny rynek gier wideo, którego misją jest zwiększanie doświadczeń graczy w dowolnym miejscu i czasie. Firma została założona w 2013 roku i jest najbardzie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j znana z cyfrowej platformy handlowej Kinguin.net. Globalny rynek </w:t>
      </w:r>
      <w:r>
        <w:rPr>
          <w:rFonts w:ascii="Arial" w:eastAsia="Arial" w:hAnsi="Arial" w:cs="Arial"/>
          <w:color w:val="000000"/>
          <w:sz w:val="16"/>
          <w:szCs w:val="16"/>
        </w:rPr>
        <w:t>gier wideo, z ponad 10 milionami zarejestrowanych użytkowników, oferuje ponad 55 000 unikalnych produktów cyfrowych, od gier wideo po oprogramowanie i usługi komputerowe, kończąc na NFT. </w:t>
      </w:r>
    </w:p>
    <w:p w14:paraId="64BB50FB" w14:textId="77777777" w:rsidR="00066CD3" w:rsidRDefault="00832A49">
      <w:pPr>
        <w:spacing w:before="240" w:after="28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Kinguin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jest również głównym patronem branży e-sportowej, uznawanym za jednego z pierwszych sponsorów międzynarodowych turniejów, wydarzeń oraz organizacji e-sportowych. Firma otworzyła dwa nowoczesne fizyczne obiekty e-sportowe w Europie. </w:t>
      </w:r>
      <w:hyperlink r:id="rId9">
        <w:proofErr w:type="spellStart"/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Kinguin</w:t>
        </w:r>
        <w:proofErr w:type="spellEnd"/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Esports</w:t>
        </w:r>
        <w:proofErr w:type="spellEnd"/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 xml:space="preserve"> Performance Center</w:t>
        </w:r>
      </w:hyperlink>
      <w:r>
        <w:rPr>
          <w:rFonts w:ascii="Arial" w:eastAsia="Arial" w:hAnsi="Arial" w:cs="Arial"/>
          <w:sz w:val="16"/>
          <w:szCs w:val="16"/>
        </w:rPr>
        <w:t xml:space="preserve"> jest jednym z najbardziej profesjonalnych i zaawansowanych technologicznie centrów treningowych dla drużyn </w:t>
      </w:r>
      <w:proofErr w:type="spellStart"/>
      <w:r>
        <w:rPr>
          <w:rFonts w:ascii="Arial" w:eastAsia="Arial" w:hAnsi="Arial" w:cs="Arial"/>
          <w:sz w:val="16"/>
          <w:szCs w:val="16"/>
        </w:rPr>
        <w:t>esportowych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w Europie. </w:t>
      </w:r>
      <w:hyperlink r:id="rId10">
        <w:proofErr w:type="spellStart"/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King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uin</w:t>
        </w:r>
        <w:proofErr w:type="spellEnd"/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Esports</w:t>
        </w:r>
        <w:proofErr w:type="spellEnd"/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Lounge</w:t>
        </w:r>
        <w:proofErr w:type="spellEnd"/>
      </w:hyperlink>
      <w:r>
        <w:rPr>
          <w:rFonts w:ascii="Arial" w:eastAsia="Arial" w:hAnsi="Arial" w:cs="Arial"/>
          <w:sz w:val="16"/>
          <w:szCs w:val="16"/>
        </w:rPr>
        <w:t xml:space="preserve"> to jedna z najbardziej innowacyjnych lokalizacji dla wszystkich pasjonatów gier wideo.</w:t>
      </w:r>
    </w:p>
    <w:p w14:paraId="011E95A3" w14:textId="77777777" w:rsidR="00066CD3" w:rsidRPr="008B527F" w:rsidRDefault="00832A49">
      <w:pPr>
        <w:spacing w:before="280" w:after="280"/>
        <w:rPr>
          <w:rFonts w:ascii="Arial" w:eastAsia="Arial" w:hAnsi="Arial" w:cs="Arial"/>
          <w:sz w:val="16"/>
          <w:szCs w:val="16"/>
          <w:lang w:val="en-GB"/>
        </w:rPr>
      </w:pPr>
      <w:proofErr w:type="spellStart"/>
      <w:r w:rsidRPr="008B527F">
        <w:rPr>
          <w:rFonts w:ascii="Arial" w:eastAsia="Arial" w:hAnsi="Arial" w:cs="Arial"/>
          <w:color w:val="050505"/>
          <w:sz w:val="16"/>
          <w:szCs w:val="16"/>
          <w:lang w:val="en-GB"/>
        </w:rPr>
        <w:t>Więcej</w:t>
      </w:r>
      <w:proofErr w:type="spellEnd"/>
      <w:r w:rsidRPr="008B527F">
        <w:rPr>
          <w:rFonts w:ascii="Arial" w:eastAsia="Arial" w:hAnsi="Arial" w:cs="Arial"/>
          <w:color w:val="050505"/>
          <w:sz w:val="16"/>
          <w:szCs w:val="16"/>
          <w:lang w:val="en-GB"/>
        </w:rPr>
        <w:t xml:space="preserve"> o </w:t>
      </w:r>
      <w:proofErr w:type="spellStart"/>
      <w:r w:rsidRPr="008B527F">
        <w:rPr>
          <w:rFonts w:ascii="Arial" w:eastAsia="Arial" w:hAnsi="Arial" w:cs="Arial"/>
          <w:color w:val="050505"/>
          <w:sz w:val="16"/>
          <w:szCs w:val="16"/>
          <w:lang w:val="en-GB"/>
        </w:rPr>
        <w:t>Kinguin</w:t>
      </w:r>
      <w:proofErr w:type="spellEnd"/>
      <w:r w:rsidRPr="008B527F">
        <w:rPr>
          <w:rFonts w:ascii="Arial" w:eastAsia="Arial" w:hAnsi="Arial" w:cs="Arial"/>
          <w:color w:val="050505"/>
          <w:sz w:val="16"/>
          <w:szCs w:val="16"/>
          <w:lang w:val="en-GB"/>
        </w:rPr>
        <w:t xml:space="preserve">: </w:t>
      </w:r>
      <w:hyperlink r:id="rId11">
        <w:r w:rsidRPr="008B527F">
          <w:rPr>
            <w:rFonts w:ascii="Arial" w:eastAsia="Arial" w:hAnsi="Arial" w:cs="Arial"/>
            <w:color w:val="0000FF"/>
            <w:sz w:val="16"/>
            <w:szCs w:val="16"/>
            <w:u w:val="single"/>
            <w:lang w:val="en-GB"/>
          </w:rPr>
          <w:t>www.kinguin.io</w:t>
        </w:r>
      </w:hyperlink>
      <w:r w:rsidRPr="008B527F">
        <w:rPr>
          <w:rFonts w:ascii="Arial" w:eastAsia="Arial" w:hAnsi="Arial" w:cs="Arial"/>
          <w:sz w:val="16"/>
          <w:szCs w:val="16"/>
          <w:lang w:val="en-GB"/>
        </w:rPr>
        <w:t xml:space="preserve">  </w:t>
      </w:r>
      <w:hyperlink r:id="rId12">
        <w:r w:rsidRPr="008B527F">
          <w:rPr>
            <w:rFonts w:ascii="Arial" w:eastAsia="Arial" w:hAnsi="Arial" w:cs="Arial"/>
            <w:color w:val="0000FF"/>
            <w:sz w:val="16"/>
            <w:szCs w:val="16"/>
            <w:u w:val="single"/>
            <w:lang w:val="en-GB"/>
          </w:rPr>
          <w:t>www.kinguin.net</w:t>
        </w:r>
      </w:hyperlink>
      <w:r w:rsidRPr="008B527F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r w:rsidRPr="008B527F">
        <w:rPr>
          <w:rFonts w:ascii="Arial" w:eastAsia="Arial" w:hAnsi="Arial" w:cs="Arial"/>
          <w:color w:val="050505"/>
          <w:sz w:val="16"/>
          <w:szCs w:val="16"/>
          <w:lang w:val="en-GB"/>
        </w:rPr>
        <w:t xml:space="preserve">Facebook: </w:t>
      </w:r>
      <w:hyperlink r:id="rId13">
        <w:r w:rsidRPr="008B527F">
          <w:rPr>
            <w:rFonts w:ascii="Arial" w:eastAsia="Arial" w:hAnsi="Arial" w:cs="Arial"/>
            <w:color w:val="0000FF"/>
            <w:sz w:val="16"/>
            <w:szCs w:val="16"/>
            <w:u w:val="single"/>
            <w:lang w:val="en-GB"/>
          </w:rPr>
          <w:t>www.facebook.com/Kinguin.net</w:t>
        </w:r>
      </w:hyperlink>
      <w:r w:rsidRPr="008B527F">
        <w:rPr>
          <w:rFonts w:ascii="Arial" w:eastAsia="Arial" w:hAnsi="Arial" w:cs="Arial"/>
          <w:color w:val="050505"/>
          <w:sz w:val="16"/>
          <w:szCs w:val="16"/>
          <w:lang w:val="en-GB"/>
        </w:rPr>
        <w:t xml:space="preserve">  </w:t>
      </w:r>
      <w:proofErr w:type="spellStart"/>
      <w:r w:rsidRPr="008B527F">
        <w:rPr>
          <w:rFonts w:ascii="Arial" w:eastAsia="Arial" w:hAnsi="Arial" w:cs="Arial"/>
          <w:color w:val="050505"/>
          <w:sz w:val="16"/>
          <w:szCs w:val="16"/>
          <w:lang w:val="en-GB"/>
        </w:rPr>
        <w:t>Linkedin</w:t>
      </w:r>
      <w:proofErr w:type="spellEnd"/>
      <w:r w:rsidRPr="008B527F">
        <w:rPr>
          <w:rFonts w:ascii="Arial" w:eastAsia="Arial" w:hAnsi="Arial" w:cs="Arial"/>
          <w:color w:val="050505"/>
          <w:sz w:val="16"/>
          <w:szCs w:val="16"/>
          <w:lang w:val="en-GB"/>
        </w:rPr>
        <w:t xml:space="preserve">: </w:t>
      </w:r>
      <w:hyperlink r:id="rId14">
        <w:r w:rsidRPr="008B527F">
          <w:rPr>
            <w:rFonts w:ascii="Arial" w:eastAsia="Arial" w:hAnsi="Arial" w:cs="Arial"/>
            <w:color w:val="0000FF"/>
            <w:sz w:val="16"/>
            <w:szCs w:val="16"/>
            <w:u w:val="single"/>
            <w:lang w:val="en-GB"/>
          </w:rPr>
          <w:t>pl.linkedin.com/company/</w:t>
        </w:r>
        <w:proofErr w:type="spellStart"/>
        <w:r w:rsidRPr="008B527F">
          <w:rPr>
            <w:rFonts w:ascii="Arial" w:eastAsia="Arial" w:hAnsi="Arial" w:cs="Arial"/>
            <w:color w:val="0000FF"/>
            <w:sz w:val="16"/>
            <w:szCs w:val="16"/>
            <w:u w:val="single"/>
            <w:lang w:val="en-GB"/>
          </w:rPr>
          <w:t>ki</w:t>
        </w:r>
        <w:r w:rsidRPr="008B527F">
          <w:rPr>
            <w:rFonts w:ascii="Arial" w:eastAsia="Arial" w:hAnsi="Arial" w:cs="Arial"/>
            <w:color w:val="0000FF"/>
            <w:sz w:val="16"/>
            <w:szCs w:val="16"/>
            <w:u w:val="single"/>
            <w:lang w:val="en-GB"/>
          </w:rPr>
          <w:t>nguinofficial</w:t>
        </w:r>
        <w:proofErr w:type="spellEnd"/>
      </w:hyperlink>
      <w:r w:rsidRPr="008B527F">
        <w:rPr>
          <w:rFonts w:ascii="Arial" w:eastAsia="Arial" w:hAnsi="Arial" w:cs="Arial"/>
          <w:color w:val="050505"/>
          <w:sz w:val="16"/>
          <w:szCs w:val="16"/>
          <w:lang w:val="en-GB"/>
        </w:rPr>
        <w:t xml:space="preserve"> Twitter: </w:t>
      </w:r>
      <w:hyperlink r:id="rId15">
        <w:r w:rsidRPr="008B527F">
          <w:rPr>
            <w:rFonts w:ascii="Arial" w:eastAsia="Arial" w:hAnsi="Arial" w:cs="Arial"/>
            <w:color w:val="0000FF"/>
            <w:sz w:val="16"/>
            <w:szCs w:val="16"/>
            <w:u w:val="single"/>
            <w:lang w:val="en-GB"/>
          </w:rPr>
          <w:t>twitter.com/</w:t>
        </w:r>
        <w:proofErr w:type="spellStart"/>
        <w:r w:rsidRPr="008B527F">
          <w:rPr>
            <w:rFonts w:ascii="Arial" w:eastAsia="Arial" w:hAnsi="Arial" w:cs="Arial"/>
            <w:color w:val="0000FF"/>
            <w:sz w:val="16"/>
            <w:szCs w:val="16"/>
            <w:u w:val="single"/>
            <w:lang w:val="en-GB"/>
          </w:rPr>
          <w:t>kinguinnet</w:t>
        </w:r>
        <w:proofErr w:type="spellEnd"/>
        <w:r w:rsidRPr="008B527F">
          <w:rPr>
            <w:rFonts w:ascii="Arial" w:eastAsia="Arial" w:hAnsi="Arial" w:cs="Arial"/>
            <w:color w:val="0000FF"/>
            <w:sz w:val="16"/>
            <w:szCs w:val="16"/>
            <w:u w:val="single"/>
            <w:lang w:val="en-GB"/>
          </w:rPr>
          <w:t> </w:t>
        </w:r>
      </w:hyperlink>
    </w:p>
    <w:p w14:paraId="0D5F49A3" w14:textId="77777777" w:rsidR="00066CD3" w:rsidRPr="008B527F" w:rsidRDefault="00066C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16"/>
          <w:szCs w:val="16"/>
          <w:lang w:val="en-GB"/>
        </w:rPr>
      </w:pPr>
    </w:p>
    <w:sectPr w:rsidR="00066CD3" w:rsidRPr="008B527F">
      <w:headerReference w:type="default" r:id="rId16"/>
      <w:footerReference w:type="even" r:id="rId17"/>
      <w:footerReference w:type="default" r:id="rId18"/>
      <w:pgSz w:w="11906" w:h="16838"/>
      <w:pgMar w:top="1701" w:right="1417" w:bottom="1843" w:left="1417" w:header="79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7153" w14:textId="77777777" w:rsidR="00832A49" w:rsidRDefault="00832A49">
      <w:r>
        <w:separator/>
      </w:r>
    </w:p>
  </w:endnote>
  <w:endnote w:type="continuationSeparator" w:id="0">
    <w:p w14:paraId="42D02341" w14:textId="77777777" w:rsidR="00832A49" w:rsidRDefault="0083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 Medium">
    <w:altName w:val="Calibri"/>
    <w:charset w:val="00"/>
    <w:family w:val="auto"/>
    <w:pitch w:val="default"/>
  </w:font>
  <w:font w:name="Neo Sans P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0AD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17E179D" w14:textId="77777777" w:rsidR="00066CD3" w:rsidRDefault="00066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B7BD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Neo Sans Pro Medium" w:eastAsia="Neo Sans Pro Medium" w:hAnsi="Neo Sans Pro Medium" w:cs="Neo Sans Pro Medium"/>
        <w:color w:val="808080"/>
        <w:sz w:val="20"/>
        <w:szCs w:val="20"/>
      </w:rPr>
    </w:pP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begin"/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instrText>PAGE</w:instrText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separate"/>
    </w:r>
    <w:r w:rsidR="008B527F">
      <w:rPr>
        <w:rFonts w:ascii="Neo Sans Pro Medium" w:eastAsia="Neo Sans Pro Medium" w:hAnsi="Neo Sans Pro Medium" w:cs="Neo Sans Pro Medium"/>
        <w:noProof/>
        <w:color w:val="808080"/>
        <w:sz w:val="20"/>
        <w:szCs w:val="20"/>
      </w:rPr>
      <w:t>1</w:t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end"/>
    </w:r>
  </w:p>
  <w:p w14:paraId="3697B151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Neo Sans Pro" w:eastAsia="Neo Sans Pro" w:hAnsi="Neo Sans Pro" w:cs="Neo Sans Pro"/>
        <w:b/>
        <w:color w:val="7F7F7F"/>
        <w:sz w:val="20"/>
        <w:szCs w:val="20"/>
      </w:rPr>
      <w:t>Izba Gospodarki Elektronicznej (e-Izba)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C8B370" wp14:editId="0D98C075">
          <wp:simplePos x="0" y="0"/>
          <wp:positionH relativeFrom="column">
            <wp:posOffset>705485</wp:posOffset>
          </wp:positionH>
          <wp:positionV relativeFrom="paragraph">
            <wp:posOffset>17368</wp:posOffset>
          </wp:positionV>
          <wp:extent cx="113665" cy="285750"/>
          <wp:effectExtent l="0" t="0" r="0" b="0"/>
          <wp:wrapSquare wrapText="bothSides" distT="0" distB="0" distL="114300" distR="114300"/>
          <wp:docPr id="19" name="image1.jpg" descr="D:\Materiały firma 2012\ecommerce\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Materiały firma 2012\ecommerce\2.jpg"/>
                  <pic:cNvPicPr preferRelativeResize="0"/>
                </pic:nvPicPr>
                <pic:blipFill>
                  <a:blip r:embed="rId1"/>
                  <a:srcRect r="93912"/>
                  <a:stretch>
                    <a:fillRect/>
                  </a:stretch>
                </pic:blipFill>
                <pic:spPr>
                  <a:xfrm>
                    <a:off x="0" y="0"/>
                    <a:ext cx="11366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7A3A3A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b/>
        <w:color w:val="7F7F7F"/>
        <w:sz w:val="12"/>
        <w:szCs w:val="12"/>
      </w:rPr>
    </w:pPr>
    <w:r>
      <w:rPr>
        <w:rFonts w:ascii="Neo Sans Pro" w:eastAsia="Neo Sans Pro" w:hAnsi="Neo Sans Pro" w:cs="Neo Sans Pro"/>
        <w:b/>
        <w:color w:val="4F81BD"/>
        <w:sz w:val="12"/>
        <w:szCs w:val="12"/>
      </w:rPr>
      <w:t>T </w:t>
    </w:r>
    <w:r>
      <w:rPr>
        <w:rFonts w:ascii="Neo Sans Pro" w:eastAsia="Neo Sans Pro" w:hAnsi="Neo Sans Pro" w:cs="Neo Sans Pro"/>
        <w:color w:val="7F7F7F"/>
        <w:sz w:val="12"/>
        <w:szCs w:val="12"/>
      </w:rPr>
      <w:t xml:space="preserve">+ </w:t>
    </w:r>
    <w:r>
      <w:rPr>
        <w:rFonts w:ascii="Neo Sans Pro" w:eastAsia="Neo Sans Pro" w:hAnsi="Neo Sans Pro" w:cs="Neo Sans Pro"/>
        <w:color w:val="595959"/>
        <w:sz w:val="12"/>
        <w:szCs w:val="12"/>
      </w:rPr>
      <w:t>48 506 577 824</w:t>
    </w:r>
    <w:r>
      <w:rPr>
        <w:rFonts w:ascii="Neo Sans Pro" w:eastAsia="Neo Sans Pro" w:hAnsi="Neo Sans Pro" w:cs="Neo Sans Pro"/>
        <w:color w:val="7F7F7F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E </w:t>
    </w:r>
    <w:r>
      <w:rPr>
        <w:rFonts w:ascii="Neo Sans Pro" w:eastAsia="Neo Sans Pro" w:hAnsi="Neo Sans Pro" w:cs="Neo Sans Pro"/>
        <w:color w:val="595959"/>
        <w:sz w:val="12"/>
        <w:szCs w:val="12"/>
      </w:rPr>
      <w:t>BIURO@EIZBA.PL</w:t>
    </w:r>
    <w:r>
      <w:rPr>
        <w:rFonts w:ascii="Neo Sans Pro" w:eastAsia="Neo Sans Pro" w:hAnsi="Neo Sans Pro" w:cs="Neo Sans Pro"/>
        <w:color w:val="999999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I </w:t>
    </w:r>
    <w:r>
      <w:rPr>
        <w:rFonts w:ascii="Neo Sans Pro" w:eastAsia="Neo Sans Pro" w:hAnsi="Neo Sans Pro" w:cs="Neo Sans Pro"/>
        <w:color w:val="595959"/>
        <w:sz w:val="12"/>
        <w:szCs w:val="12"/>
      </w:rPr>
      <w:t>WWW.E-IZBA.PL</w:t>
    </w:r>
    <w:r>
      <w:rPr>
        <w:rFonts w:ascii="Neo Sans Pro" w:eastAsia="Neo Sans Pro" w:hAnsi="Neo Sans Pro" w:cs="Neo Sans Pro"/>
        <w:b/>
        <w:color w:val="7F7F7F"/>
        <w:sz w:val="12"/>
        <w:szCs w:val="12"/>
      </w:rPr>
      <w:t> </w:t>
    </w:r>
  </w:p>
  <w:p w14:paraId="1018C00E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color w:val="595959"/>
        <w:sz w:val="12"/>
        <w:szCs w:val="12"/>
      </w:rPr>
    </w:pPr>
    <w:r>
      <w:rPr>
        <w:rFonts w:ascii="Neo Sans Pro" w:eastAsia="Neo Sans Pro" w:hAnsi="Neo Sans Pro" w:cs="Neo Sans Pro"/>
        <w:b/>
        <w:color w:val="7F7F7F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A </w:t>
    </w:r>
    <w:r>
      <w:rPr>
        <w:rFonts w:ascii="Neo Sans Pro" w:eastAsia="Neo Sans Pro" w:hAnsi="Neo Sans Pro" w:cs="Neo Sans Pro"/>
        <w:color w:val="595959"/>
        <w:sz w:val="12"/>
        <w:szCs w:val="12"/>
      </w:rPr>
      <w:t xml:space="preserve">ŁUCKA 18 LOK. 76, 00-845 WARSZAWA 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NIP </w:t>
    </w:r>
    <w:r>
      <w:rPr>
        <w:rFonts w:ascii="Neo Sans Pro" w:eastAsia="Neo Sans Pro" w:hAnsi="Neo Sans Pro" w:cs="Neo Sans Pro"/>
        <w:color w:val="595959"/>
        <w:sz w:val="12"/>
        <w:szCs w:val="12"/>
      </w:rPr>
      <w:t xml:space="preserve">701-039—19-22 </w:t>
    </w:r>
    <w:r>
      <w:rPr>
        <w:rFonts w:ascii="Neo Sans Pro" w:eastAsia="Neo Sans Pro" w:hAnsi="Neo Sans Pro" w:cs="Neo Sans Pro"/>
        <w:color w:val="7F7F7F"/>
        <w:sz w:val="12"/>
        <w:szCs w:val="12"/>
      </w:rPr>
      <w:t> 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KRS</w:t>
    </w:r>
    <w:r>
      <w:rPr>
        <w:rFonts w:ascii="Neo Sans Pro" w:eastAsia="Neo Sans Pro" w:hAnsi="Neo Sans Pro" w:cs="Neo Sans Pro"/>
        <w:color w:val="7F7F7F"/>
        <w:sz w:val="12"/>
        <w:szCs w:val="12"/>
      </w:rPr>
      <w:t> </w:t>
    </w:r>
    <w:r>
      <w:rPr>
        <w:rFonts w:ascii="Neo Sans Pro" w:eastAsia="Neo Sans Pro" w:hAnsi="Neo Sans Pro" w:cs="Neo Sans Pro"/>
        <w:color w:val="595959"/>
        <w:sz w:val="12"/>
        <w:szCs w:val="12"/>
      </w:rPr>
      <w:t>0000474028</w:t>
    </w:r>
  </w:p>
  <w:p w14:paraId="208C8BAA" w14:textId="77777777" w:rsidR="00066CD3" w:rsidRDefault="00066CD3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color w:val="59595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E552" w14:textId="77777777" w:rsidR="00832A49" w:rsidRDefault="00832A49">
      <w:r>
        <w:separator/>
      </w:r>
    </w:p>
  </w:footnote>
  <w:footnote w:type="continuationSeparator" w:id="0">
    <w:p w14:paraId="4A86DEF0" w14:textId="77777777" w:rsidR="00832A49" w:rsidRDefault="00832A49">
      <w:r>
        <w:continuationSeparator/>
      </w:r>
    </w:p>
  </w:footnote>
  <w:footnote w:id="1">
    <w:p w14:paraId="381C0A38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  https://itreseller.com.pl/kinguin-net-swietuje-10-milionow-zarejestrowanych-klientow/</w:t>
      </w:r>
    </w:p>
  </w:footnote>
  <w:footnote w:id="2">
    <w:p w14:paraId="26C0C549" w14:textId="77777777" w:rsidR="00066CD3" w:rsidRDefault="00832A49">
      <w:pPr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  https://www.reuters.com/technology/nft-sales-volume-surges-25-bln-2021-first-half-2021-07-05/</w:t>
      </w:r>
    </w:p>
  </w:footnote>
  <w:footnote w:id="3">
    <w:p w14:paraId="4C5D4B2C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  https://spidersweb.pl/2021/07/co-to-nft.html</w:t>
      </w:r>
    </w:p>
  </w:footnote>
  <w:footnote w:id="4">
    <w:p w14:paraId="3219C607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https://www.cnbc.com/2021/10/06/nft-trading-volume-hit-10-billion-2-reasons-why-people-are-buying.html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515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9D8B7FB" wp14:editId="4A16E7D5">
          <wp:extent cx="2057837" cy="360000"/>
          <wp:effectExtent l="0" t="0" r="0" 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837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824"/>
    <w:multiLevelType w:val="multilevel"/>
    <w:tmpl w:val="62A25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D3"/>
    <w:rsid w:val="00066CD3"/>
    <w:rsid w:val="00832A49"/>
    <w:rsid w:val="008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311B"/>
  <w15:docId w15:val="{ABEE01E5-48E9-4824-9A5E-32A53182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2E"/>
  </w:style>
  <w:style w:type="paragraph" w:styleId="Nagwek1">
    <w:name w:val="heading 1"/>
    <w:basedOn w:val="Normalny"/>
    <w:next w:val="Normalny"/>
    <w:link w:val="Nagwek1Znak"/>
    <w:uiPriority w:val="9"/>
    <w:qFormat/>
    <w:rsid w:val="007A5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15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9720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09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715E2E"/>
  </w:style>
  <w:style w:type="character" w:styleId="Hipercze">
    <w:name w:val="Hyperlink"/>
    <w:uiPriority w:val="99"/>
    <w:rsid w:val="00715E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15E2E"/>
    <w:pPr>
      <w:spacing w:before="100" w:beforeAutospacing="1" w:after="100" w:afterAutospacing="1"/>
    </w:pPr>
  </w:style>
  <w:style w:type="character" w:styleId="Uwydatnienie">
    <w:name w:val="Emphasis"/>
    <w:qFormat/>
    <w:rsid w:val="00715E2E"/>
    <w:rPr>
      <w:i/>
      <w:iCs/>
    </w:rPr>
  </w:style>
  <w:style w:type="character" w:styleId="Pogrubienie">
    <w:name w:val="Strong"/>
    <w:uiPriority w:val="22"/>
    <w:qFormat/>
    <w:rsid w:val="00715E2E"/>
    <w:rPr>
      <w:b/>
      <w:bCs/>
    </w:rPr>
  </w:style>
  <w:style w:type="character" w:styleId="Numerstrony">
    <w:name w:val="page number"/>
    <w:basedOn w:val="Domylnaczcionkaakapitu"/>
    <w:rsid w:val="00715E2E"/>
  </w:style>
  <w:style w:type="character" w:customStyle="1" w:styleId="Nagwek2Znak">
    <w:name w:val="Nagłówek 2 Znak"/>
    <w:link w:val="Nagwek2"/>
    <w:uiPriority w:val="9"/>
    <w:rsid w:val="00F7183C"/>
    <w:rPr>
      <w:b/>
      <w:bCs/>
      <w:sz w:val="36"/>
      <w:szCs w:val="36"/>
    </w:rPr>
  </w:style>
  <w:style w:type="character" w:customStyle="1" w:styleId="NagwekZnak">
    <w:name w:val="Nagłówek Znak"/>
    <w:link w:val="Nagwek"/>
    <w:rsid w:val="0023331A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A2F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F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A5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tab-span">
    <w:name w:val="apple-tab-span"/>
    <w:rsid w:val="007A5BFA"/>
  </w:style>
  <w:style w:type="character" w:styleId="Nierozpoznanawzmianka">
    <w:name w:val="Unresolved Mention"/>
    <w:uiPriority w:val="99"/>
    <w:semiHidden/>
    <w:unhideWhenUsed/>
    <w:rsid w:val="000371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0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02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2F"/>
  </w:style>
  <w:style w:type="character" w:styleId="Odwoanieprzypisukocowego">
    <w:name w:val="endnote reference"/>
    <w:basedOn w:val="Domylnaczcionkaakapitu"/>
    <w:uiPriority w:val="99"/>
    <w:semiHidden/>
    <w:unhideWhenUsed/>
    <w:rsid w:val="002F602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A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A11"/>
  </w:style>
  <w:style w:type="character" w:styleId="Odwoanieprzypisudolnego">
    <w:name w:val="footnote reference"/>
    <w:basedOn w:val="Domylnaczcionkaakapitu"/>
    <w:uiPriority w:val="99"/>
    <w:semiHidden/>
    <w:unhideWhenUsed/>
    <w:rsid w:val="002C0A11"/>
    <w:rPr>
      <w:vertAlign w:val="superscript"/>
    </w:rPr>
  </w:style>
  <w:style w:type="paragraph" w:styleId="Poprawka">
    <w:name w:val="Revision"/>
    <w:hidden/>
    <w:uiPriority w:val="99"/>
    <w:semiHidden/>
    <w:rsid w:val="0090210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ortperformancecenter.com/" TargetMode="External"/><Relationship Id="rId13" Type="http://schemas.openxmlformats.org/officeDocument/2006/relationships/hyperlink" Target="https://www.facebook.com/Kinguin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nguin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uin.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kinguinnet" TargetMode="External"/><Relationship Id="rId10" Type="http://schemas.openxmlformats.org/officeDocument/2006/relationships/hyperlink" Target="https://lounge.kinguin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portperformancecenter.com/" TargetMode="External"/><Relationship Id="rId14" Type="http://schemas.openxmlformats.org/officeDocument/2006/relationships/hyperlink" Target="https://pl.linkedin.com/company/kinguinoffici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Us6PU/udC1hI/bH+EzaFXvMcg==">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Zagożdżon</dc:creator>
  <cp:lastModifiedBy>Marta Zagożdżon</cp:lastModifiedBy>
  <cp:revision>2</cp:revision>
  <dcterms:created xsi:type="dcterms:W3CDTF">2021-12-08T10:11:00Z</dcterms:created>
  <dcterms:modified xsi:type="dcterms:W3CDTF">2021-12-08T10:11:00Z</dcterms:modified>
</cp:coreProperties>
</file>