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50DD6" w14:textId="77777777" w:rsidR="009F2D88" w:rsidRPr="0014391D" w:rsidRDefault="009F2D88">
      <w:pPr>
        <w:rPr>
          <w:rFonts w:asciiTheme="minorHAnsi" w:hAnsiTheme="minorHAnsi" w:cstheme="minorHAnsi"/>
          <w:lang w:val="en-GB"/>
        </w:rPr>
      </w:pPr>
    </w:p>
    <w:p w14:paraId="43D0C09B" w14:textId="77777777" w:rsidR="009F2D88" w:rsidRPr="0014391D" w:rsidRDefault="0014391D" w:rsidP="0014391D">
      <w:pPr>
        <w:jc w:val="center"/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  <w:noProof/>
        </w:rPr>
        <w:drawing>
          <wp:inline distT="101600" distB="101600" distL="101600" distR="101600" wp14:anchorId="3EE86219" wp14:editId="57369331">
            <wp:extent cx="4972050" cy="3664585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005" cy="3670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9C96F" w14:textId="77777777" w:rsidR="009F2D88" w:rsidRPr="0014391D" w:rsidRDefault="009F2D88">
      <w:pPr>
        <w:rPr>
          <w:rFonts w:asciiTheme="minorHAnsi" w:hAnsiTheme="minorHAnsi" w:cstheme="minorHAnsi"/>
        </w:rPr>
      </w:pPr>
    </w:p>
    <w:p w14:paraId="6D3179F8" w14:textId="77777777" w:rsidR="009F2D88" w:rsidRPr="0014391D" w:rsidRDefault="0014391D" w:rsidP="0014391D">
      <w:pPr>
        <w:pStyle w:val="Nagwek1"/>
        <w:jc w:val="center"/>
      </w:pPr>
      <w:r w:rsidRPr="0014391D">
        <w:t>Dyrektywa UE dot. sygnalistów - komentarz eksperta</w:t>
      </w:r>
    </w:p>
    <w:p w14:paraId="56133DB2" w14:textId="77777777" w:rsidR="009F2D88" w:rsidRPr="0014391D" w:rsidRDefault="009F2D88" w:rsidP="0014391D">
      <w:pPr>
        <w:jc w:val="both"/>
        <w:rPr>
          <w:rFonts w:asciiTheme="minorHAnsi" w:hAnsiTheme="minorHAnsi" w:cstheme="minorHAnsi"/>
        </w:rPr>
      </w:pPr>
    </w:p>
    <w:p w14:paraId="3B32B87F" w14:textId="77777777" w:rsidR="009F2D88" w:rsidRPr="0014391D" w:rsidRDefault="0014391D" w:rsidP="0014391D">
      <w:pPr>
        <w:jc w:val="both"/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</w:rPr>
        <w:t>Rychły termin wejścia w życie tzw. ustawy o ochronie sygnalistów stawia przed firmami niemałe wyzwanie. Przedsiębiorstwa objęte jej zapisem będą musiały wdrożyć odpowiednie systemy informatyczne, pozwalające na obsługę procesu składania i weryfikacji zgłos</w:t>
      </w:r>
      <w:r w:rsidRPr="0014391D">
        <w:rPr>
          <w:rFonts w:asciiTheme="minorHAnsi" w:hAnsiTheme="minorHAnsi" w:cstheme="minorHAnsi"/>
        </w:rPr>
        <w:t xml:space="preserve">zeń o nieprawidłowościach, udzielania informacji zwrotnej i podejmowania dalszych kroków przez organizacje. Zadanie to jest niełatwe głównie ze względu na ograniczony czas na wdrożenie nowych procedur, jak i na rozmiar organizacji, których dotyczy. Mówimy </w:t>
      </w:r>
      <w:r w:rsidRPr="0014391D">
        <w:rPr>
          <w:rFonts w:asciiTheme="minorHAnsi" w:hAnsiTheme="minorHAnsi" w:cstheme="minorHAnsi"/>
        </w:rPr>
        <w:t>tu bowiem o firmach dużych, zatrudniających powyżej 250 osób, które będzie trzeba przeszkolić i przygotować do korzystania z nowego systemu.</w:t>
      </w:r>
    </w:p>
    <w:p w14:paraId="23DCAA05" w14:textId="77777777" w:rsidR="009F2D88" w:rsidRPr="0014391D" w:rsidRDefault="009F2D88" w:rsidP="0014391D">
      <w:pPr>
        <w:jc w:val="both"/>
        <w:rPr>
          <w:rFonts w:asciiTheme="minorHAnsi" w:hAnsiTheme="minorHAnsi" w:cstheme="minorHAnsi"/>
        </w:rPr>
      </w:pPr>
    </w:p>
    <w:p w14:paraId="63733909" w14:textId="77777777" w:rsidR="009F2D88" w:rsidRPr="0014391D" w:rsidRDefault="0014391D" w:rsidP="0014391D">
      <w:pPr>
        <w:jc w:val="both"/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</w:rPr>
        <w:t>Dyrektywa UE dot. sygnalistów to kolejny w ostatnich latach dowód na to, że firmy muszą być dziś elastyczne, aby e</w:t>
      </w:r>
      <w:r w:rsidRPr="0014391D">
        <w:rPr>
          <w:rFonts w:asciiTheme="minorHAnsi" w:hAnsiTheme="minorHAnsi" w:cstheme="minorHAnsi"/>
        </w:rPr>
        <w:t>fektywnie zarządzać zmianą i zwinnie dostosowywać się do nowych realiów. Oprócz pandemii COVID-19, która wymusiła na firmach z praktycznie każdej branży konieczność dostosowania procesów i modeli biznesowych do nowej rzeczywistości, z podobną sytuacją zetk</w:t>
      </w:r>
      <w:r w:rsidRPr="0014391D">
        <w:rPr>
          <w:rFonts w:asciiTheme="minorHAnsi" w:hAnsiTheme="minorHAnsi" w:cstheme="minorHAnsi"/>
        </w:rPr>
        <w:t>nęliśmy się między innymi podczas wprowadzania w życie przepisów o RODO. Przedsiębiorcy muszą być dziś gotowi na to, by sprawnie zmieniać swój biznes – zarówno w wyniku nowych regulacji prawnych, sytuacji na świecie, czy też z potrzeby utrzymania pozycji l</w:t>
      </w:r>
      <w:r w:rsidRPr="0014391D">
        <w:rPr>
          <w:rFonts w:asciiTheme="minorHAnsi" w:hAnsiTheme="minorHAnsi" w:cstheme="minorHAnsi"/>
        </w:rPr>
        <w:t>idera na rynku. Umiejętność szybkiego i skutecznego zaadaptowania się do zmian będzie stanowić swoiste „być albo nie być” dla ich biznesu.</w:t>
      </w:r>
    </w:p>
    <w:p w14:paraId="56600973" w14:textId="77777777" w:rsidR="009F2D88" w:rsidRPr="0014391D" w:rsidRDefault="009F2D88">
      <w:pPr>
        <w:rPr>
          <w:rFonts w:asciiTheme="minorHAnsi" w:hAnsiTheme="minorHAnsi" w:cstheme="minorHAnsi"/>
        </w:rPr>
      </w:pPr>
    </w:p>
    <w:p w14:paraId="3D57724B" w14:textId="77777777" w:rsidR="009F2D88" w:rsidRPr="0014391D" w:rsidRDefault="0014391D">
      <w:pPr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</w:rPr>
        <w:t>Sposobem na dostosowanie do nowych procedur jest wykorzystanie wsparcia ze strony narzędzi informatycznych. Niektóre</w:t>
      </w:r>
      <w:r w:rsidRPr="0014391D">
        <w:rPr>
          <w:rFonts w:asciiTheme="minorHAnsi" w:hAnsiTheme="minorHAnsi" w:cstheme="minorHAnsi"/>
        </w:rPr>
        <w:t xml:space="preserve"> firmy sięgają po dostępne na rynku, tak zwane „rozwiązania pudełkowe”, pozwalające zaadresować daną potrzebę biznesową, generuje to jednak ryzyko gwałtownego namnożenia niezależnych systemów. Muszą być one utrzymywane przez działy IT, a użytkownicy muszą </w:t>
      </w:r>
      <w:r w:rsidRPr="0014391D">
        <w:rPr>
          <w:rFonts w:asciiTheme="minorHAnsi" w:hAnsiTheme="minorHAnsi" w:cstheme="minorHAnsi"/>
        </w:rPr>
        <w:t>nauczyć się ich obsługi. Dlatego nowoczesne firmy przygotowują się do konieczności wdrażania dużej ilości aplikacji biznesowych poprzez inwestycję w platformy aplikacyjne klasy low-code. Dzięki nim mogą szybko i bez kodowania tworzyć takie rozwiązania, jak</w:t>
      </w:r>
      <w:r w:rsidRPr="0014391D">
        <w:rPr>
          <w:rFonts w:asciiTheme="minorHAnsi" w:hAnsiTheme="minorHAnsi" w:cstheme="minorHAnsi"/>
        </w:rPr>
        <w:t xml:space="preserve">ie są potrzebne w danym momencie i równie szybko je modyfikować, rozbudowywać i rozwijać. Praca w ramach jednej platformy </w:t>
      </w:r>
      <w:r w:rsidRPr="0014391D">
        <w:rPr>
          <w:rFonts w:asciiTheme="minorHAnsi" w:hAnsiTheme="minorHAnsi" w:cstheme="minorHAnsi"/>
        </w:rPr>
        <w:lastRenderedPageBreak/>
        <w:t>sprawia, że niezależnie czy potrzebujemy jednej aplikacji, czy dziesięciu, będą one spójne i ustandaryzowane, a ich utrzymanie nie będ</w:t>
      </w:r>
      <w:r w:rsidRPr="0014391D">
        <w:rPr>
          <w:rFonts w:asciiTheme="minorHAnsi" w:hAnsiTheme="minorHAnsi" w:cstheme="minorHAnsi"/>
        </w:rPr>
        <w:t xml:space="preserve">zie obciążać działu IT. </w:t>
      </w:r>
    </w:p>
    <w:p w14:paraId="5EC88834" w14:textId="77777777" w:rsidR="009F2D88" w:rsidRPr="0014391D" w:rsidRDefault="009F2D88">
      <w:pPr>
        <w:rPr>
          <w:rFonts w:asciiTheme="minorHAnsi" w:hAnsiTheme="minorHAnsi" w:cstheme="minorHAnsi"/>
        </w:rPr>
      </w:pPr>
    </w:p>
    <w:p w14:paraId="4E1E0E61" w14:textId="77777777" w:rsidR="009F2D88" w:rsidRPr="0014391D" w:rsidRDefault="0014391D">
      <w:pPr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</w:rPr>
        <w:t>Łukasz Wróbel, Wiceprezes WEBCON:</w:t>
      </w:r>
    </w:p>
    <w:p w14:paraId="616577C9" w14:textId="77777777" w:rsidR="009F2D88" w:rsidRPr="0014391D" w:rsidRDefault="0014391D" w:rsidP="0014391D">
      <w:pPr>
        <w:jc w:val="both"/>
        <w:rPr>
          <w:rFonts w:asciiTheme="minorHAnsi" w:hAnsiTheme="minorHAnsi" w:cstheme="minorHAnsi"/>
          <w:i/>
          <w:iCs/>
        </w:rPr>
      </w:pPr>
      <w:r w:rsidRPr="0014391D">
        <w:rPr>
          <w:rFonts w:asciiTheme="minorHAnsi" w:hAnsiTheme="minorHAnsi" w:cstheme="minorHAnsi"/>
          <w:i/>
          <w:iCs/>
        </w:rPr>
        <w:t>Unijna dyrektywa dotycząca ochrony sygnalistów to tylko jeden z wielu przykładów okoliczności wymuszających na przedsiębiorcach postępowanie zgodne z nowymi procedurami. Jak zwykle w takich przy</w:t>
      </w:r>
      <w:r w:rsidRPr="0014391D">
        <w:rPr>
          <w:rFonts w:asciiTheme="minorHAnsi" w:hAnsiTheme="minorHAnsi" w:cstheme="minorHAnsi"/>
          <w:i/>
          <w:iCs/>
        </w:rPr>
        <w:t>padkach, by zapewnić zgodność, konieczne jest zastosowanie rozwiązania informatycznego. Dla wielu firm naturalną ścieżką postępowania w tej sytuacji jest poszukiwanie i wdrożenie istniejącego na rynku oprogramowania. Jak pokazują jednak badania, zapotrzebo</w:t>
      </w:r>
      <w:r w:rsidRPr="0014391D">
        <w:rPr>
          <w:rFonts w:asciiTheme="minorHAnsi" w:hAnsiTheme="minorHAnsi" w:cstheme="minorHAnsi"/>
          <w:i/>
          <w:iCs/>
        </w:rPr>
        <w:t xml:space="preserve">wanie na aplikacje biznesowe stale rośnie. W związku z tym warto zadać sobie pytanie, czy dołożenie do istniejącego ekosystemu informatycznego firmy kolejnego, niezależnego narzędzia jest optymalną drogą. </w:t>
      </w:r>
    </w:p>
    <w:p w14:paraId="62B467DB" w14:textId="216B0562" w:rsidR="009F2D88" w:rsidRPr="0014391D" w:rsidRDefault="0014391D" w:rsidP="0014391D">
      <w:pPr>
        <w:jc w:val="both"/>
        <w:rPr>
          <w:rFonts w:asciiTheme="minorHAnsi" w:hAnsiTheme="minorHAnsi" w:cstheme="minorHAnsi"/>
          <w:i/>
          <w:iCs/>
        </w:rPr>
      </w:pPr>
      <w:r w:rsidRPr="0014391D">
        <w:rPr>
          <w:rFonts w:asciiTheme="minorHAnsi" w:hAnsiTheme="minorHAnsi" w:cstheme="minorHAnsi"/>
          <w:i/>
          <w:iCs/>
        </w:rPr>
        <w:t>Ostatnie dwa lata pokazały, że wśród realizowa</w:t>
      </w:r>
      <w:r w:rsidRPr="0014391D">
        <w:rPr>
          <w:rFonts w:asciiTheme="minorHAnsi" w:hAnsiTheme="minorHAnsi" w:cstheme="minorHAnsi"/>
          <w:i/>
          <w:iCs/>
        </w:rPr>
        <w:t xml:space="preserve">nych przez firmy procesów biznesowych, znajduje się całe mnóstwo kandydatów do objęcia digitalizacją. Dlatego warto zastanowić się nad całościową strategią cyfryzacji. Taką, która pozwoli uniknąć niepotrzebnych wydatków, chaosu informacyjnego i frustracji </w:t>
      </w:r>
      <w:r w:rsidRPr="0014391D">
        <w:rPr>
          <w:rFonts w:asciiTheme="minorHAnsi" w:hAnsiTheme="minorHAnsi" w:cstheme="minorHAnsi"/>
          <w:i/>
          <w:iCs/>
        </w:rPr>
        <w:t>pracowników. Wykorzystanie jednolitej platformy aplikacyjnej, działającej w technologii low-code, pozwoliło naszym klientom w jednym miejscu obsłużyć nawet kilkaset procesów biznesowych, eliminując potrzebę wdrażania dziesiątek niezależnych narzędzi inform</w:t>
      </w:r>
      <w:r w:rsidRPr="0014391D">
        <w:rPr>
          <w:rFonts w:asciiTheme="minorHAnsi" w:hAnsiTheme="minorHAnsi" w:cstheme="minorHAnsi"/>
          <w:i/>
          <w:iCs/>
        </w:rPr>
        <w:t>atycznych. Sygnalista to dla nich po prostu kolejna aplikacja, która zachowuje się, działa i wygląda dokładnie tak, jak pozostałe rozwiązania, do których użytkownicy zdążyli się już przyzwyczaić. Co najważniejsze, przygotowanie i uruchomienie takiej aplika</w:t>
      </w:r>
      <w:r w:rsidRPr="0014391D">
        <w:rPr>
          <w:rFonts w:asciiTheme="minorHAnsi" w:hAnsiTheme="minorHAnsi" w:cstheme="minorHAnsi"/>
          <w:i/>
          <w:iCs/>
        </w:rPr>
        <w:t xml:space="preserve">cji </w:t>
      </w:r>
      <w:proofErr w:type="gramStart"/>
      <w:r w:rsidRPr="0014391D">
        <w:rPr>
          <w:rFonts w:asciiTheme="minorHAnsi" w:hAnsiTheme="minorHAnsi" w:cstheme="minorHAnsi"/>
          <w:i/>
          <w:iCs/>
        </w:rPr>
        <w:t>jest</w:t>
      </w:r>
      <w:proofErr w:type="gramEnd"/>
      <w:r w:rsidRPr="0014391D">
        <w:rPr>
          <w:rFonts w:asciiTheme="minorHAnsi" w:hAnsiTheme="minorHAnsi" w:cstheme="minorHAnsi"/>
          <w:i/>
          <w:iCs/>
        </w:rPr>
        <w:t xml:space="preserve"> znacznie szybsze i tańsze, niż wdrożenie zupełnie nowego systemu.   </w:t>
      </w:r>
    </w:p>
    <w:p w14:paraId="3E012981" w14:textId="77777777" w:rsidR="009F2D88" w:rsidRPr="0014391D" w:rsidRDefault="009F2D88" w:rsidP="0014391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DA217BF" w14:textId="77777777" w:rsidR="009F2D88" w:rsidRPr="0014391D" w:rsidRDefault="009F2D88">
      <w:pPr>
        <w:rPr>
          <w:rFonts w:asciiTheme="minorHAnsi" w:hAnsiTheme="minorHAnsi" w:cstheme="minorHAnsi"/>
        </w:rPr>
      </w:pPr>
    </w:p>
    <w:p w14:paraId="6CC83F4C" w14:textId="77777777" w:rsidR="009F2D88" w:rsidRPr="0014391D" w:rsidRDefault="0014391D">
      <w:pPr>
        <w:jc w:val="center"/>
        <w:rPr>
          <w:rFonts w:asciiTheme="minorHAnsi" w:hAnsiTheme="minorHAnsi" w:cstheme="minorHAnsi"/>
        </w:rPr>
      </w:pPr>
      <w:r w:rsidRPr="0014391D">
        <w:rPr>
          <w:rFonts w:asciiTheme="minorHAnsi" w:hAnsiTheme="minorHAnsi" w:cstheme="minorHAnsi"/>
          <w:noProof/>
        </w:rPr>
        <w:drawing>
          <wp:inline distT="101600" distB="101600" distL="101600" distR="101600" wp14:anchorId="7AD28B2D" wp14:editId="18C3C5A4">
            <wp:extent cx="2222500" cy="3333750"/>
            <wp:effectExtent l="0" t="0" r="6350" b="0"/>
            <wp:docPr id="9" name="media/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573" cy="333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12910" w14:textId="77777777" w:rsidR="009F2D88" w:rsidRPr="0014391D" w:rsidRDefault="009F2D88">
      <w:pPr>
        <w:jc w:val="center"/>
        <w:rPr>
          <w:rFonts w:asciiTheme="minorHAnsi" w:hAnsiTheme="minorHAnsi" w:cstheme="minorHAnsi"/>
          <w:color w:val="7A8086"/>
          <w:sz w:val="16"/>
        </w:rPr>
      </w:pPr>
    </w:p>
    <w:sectPr w:rsidR="009F2D88" w:rsidRPr="0014391D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D88"/>
    <w:rsid w:val="0014391D"/>
    <w:rsid w:val="009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EC53"/>
  <w15:docId w15:val="{396291FF-D078-45E0-ADA4-A4A079A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42a6a9b8b51a4842aef92521542c0c37c21ecdb1716af96b2eebc32f20dd9649dyrektywa-ue-dot-sygnalistow-kome20211215-12565-s24hae.docx</dc:title>
  <cp:lastModifiedBy>Katarzyna Matczuk</cp:lastModifiedBy>
  <cp:revision>2</cp:revision>
  <dcterms:created xsi:type="dcterms:W3CDTF">2021-12-15T09:20:00Z</dcterms:created>
  <dcterms:modified xsi:type="dcterms:W3CDTF">2021-12-15T09:23:00Z</dcterms:modified>
</cp:coreProperties>
</file>