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9E5" w:rsidRDefault="001E5D44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22070" cy="7315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109E5" w:rsidRDefault="009109E5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9109E5" w:rsidRDefault="001E5D44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7347E9A5" w:rsidR="009109E5" w:rsidRDefault="001E5D44">
      <w:pPr>
        <w:spacing w:after="0" w:line="360" w:lineRule="auto"/>
        <w:ind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717DD6"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kwietnia 2022</w:t>
      </w:r>
    </w:p>
    <w:p w14:paraId="00000005" w14:textId="77777777" w:rsidR="009109E5" w:rsidRDefault="009109E5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000006" w14:textId="77777777" w:rsidR="009109E5" w:rsidRDefault="001E5D4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Automatyzacja i robotyzacja coraz bardziej dostępna </w:t>
      </w:r>
    </w:p>
    <w:p w14:paraId="00000007" w14:textId="77777777" w:rsidR="009109E5" w:rsidRDefault="009109E5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8" w14:textId="77777777" w:rsidR="009109E5" w:rsidRDefault="001E5D4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Automatyzacja i robotyzacja zakładów produkcyjnych </w:t>
      </w:r>
      <w:r>
        <w:rPr>
          <w:rFonts w:ascii="Arial" w:eastAsia="Arial" w:hAnsi="Arial" w:cs="Arial"/>
          <w:b/>
          <w:sz w:val="20"/>
          <w:szCs w:val="20"/>
        </w:rPr>
        <w:t>wpisuje się w rozwój technologiczny i cyfrową transformację przedsiębiorstw. Firmy, które korzystają z takich rozwiązań, poprawiają swą efektywność i konkurencyjność. Warto wiedzieć, że na inwestycje związane z robotyzacją dostępne są instrumenty finansowe</w:t>
      </w:r>
      <w:r>
        <w:rPr>
          <w:rFonts w:ascii="Arial" w:eastAsia="Arial" w:hAnsi="Arial" w:cs="Arial"/>
          <w:b/>
          <w:sz w:val="20"/>
          <w:szCs w:val="20"/>
        </w:rPr>
        <w:t xml:space="preserve">, takie jak ulga i grant, które zmniejszą koszty wdrożenia. </w:t>
      </w:r>
    </w:p>
    <w:p w14:paraId="00000009" w14:textId="77777777" w:rsidR="009109E5" w:rsidRDefault="009109E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9109E5" w:rsidRDefault="001E5D4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Automatyzacja i robotyzacja procesów w firmie mogą wydawać się skomplikowane i drogie. Okazuje się, że tak nie jest, a korzyści pozwalają firmom budować przewagę konkurencyjną, zdobywać nowe ryn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ki i zaufanie klientów. </w:t>
      </w:r>
    </w:p>
    <w:p w14:paraId="0000000B" w14:textId="77777777" w:rsidR="009109E5" w:rsidRDefault="009109E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14:paraId="0000000C" w14:textId="43E42684" w:rsidR="009109E5" w:rsidRDefault="001E5D4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i/>
          <w:color w:val="202124"/>
          <w:sz w:val="20"/>
          <w:szCs w:val="20"/>
          <w:highlight w:val="white"/>
        </w:rPr>
        <w:t xml:space="preserve"> Warto pamiętać, że ceny robotów zmniejszyły się w porównaniu do poziomu sprzed 2-3 lat, a niezawodność i wydajność maszyn, powtarzalność i ciągła praca to </w:t>
      </w:r>
      <w:r>
        <w:rPr>
          <w:rFonts w:ascii="Arial" w:eastAsia="Arial" w:hAnsi="Arial" w:cs="Arial"/>
          <w:i/>
          <w:sz w:val="20"/>
          <w:szCs w:val="20"/>
        </w:rPr>
        <w:t xml:space="preserve">ogromne wsparcie dla produkcji. Można je łatwo zintegrować z maszynami pakującymi, a w konsekwencji znacznie przyspieszyć drogę towaru, od produkcji do magazynu. Zachętą do inwestycji są </w:t>
      </w:r>
      <w:r>
        <w:rPr>
          <w:rFonts w:ascii="Arial" w:eastAsia="Arial" w:hAnsi="Arial" w:cs="Arial"/>
          <w:i/>
          <w:sz w:val="20"/>
          <w:szCs w:val="20"/>
        </w:rPr>
        <w:t>instrumenty wsparcia finansowego przy unowocześnianiu pa</w:t>
      </w:r>
      <w:r>
        <w:rPr>
          <w:rFonts w:ascii="Arial" w:eastAsia="Arial" w:hAnsi="Arial" w:cs="Arial"/>
          <w:i/>
          <w:sz w:val="20"/>
          <w:szCs w:val="20"/>
        </w:rPr>
        <w:t xml:space="preserve">rku maszynowego </w:t>
      </w:r>
      <w:r>
        <w:rPr>
          <w:rFonts w:ascii="Arial" w:eastAsia="Arial" w:hAnsi="Arial" w:cs="Arial"/>
          <w:sz w:val="20"/>
          <w:szCs w:val="20"/>
        </w:rPr>
        <w:t xml:space="preserve">– mówi Karol Szostak z firmy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0D" w14:textId="77777777" w:rsidR="009109E5" w:rsidRDefault="009109E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14:paraId="0000000E" w14:textId="742AC7B8" w:rsidR="009109E5" w:rsidRDefault="001E5D4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Jak modernizować produkcję i pakowanie</w:t>
      </w:r>
    </w:p>
    <w:p w14:paraId="0000000F" w14:textId="5527D778" w:rsidR="009109E5" w:rsidRDefault="001E5D44" w:rsidP="0076197B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76197B">
        <w:rPr>
          <w:rFonts w:ascii="Arial" w:eastAsia="Arial" w:hAnsi="Arial" w:cs="Arial"/>
          <w:sz w:val="20"/>
          <w:szCs w:val="20"/>
        </w:rPr>
        <w:t>Producenci</w:t>
      </w:r>
      <w:r w:rsidRPr="0076197B">
        <w:rPr>
          <w:rFonts w:ascii="Arial" w:eastAsia="Arial" w:hAnsi="Arial" w:cs="Arial"/>
          <w:sz w:val="20"/>
          <w:szCs w:val="20"/>
        </w:rPr>
        <w:t xml:space="preserve"> oczekują zwiększenia wydajności procesów, w tym przejścia z aplikacji ręcznych na półautomatyczne lub całkowicie zautomatyzowane</w:t>
      </w:r>
      <w:r w:rsidR="00717DD6" w:rsidRPr="0076197B">
        <w:rPr>
          <w:rFonts w:ascii="Arial" w:eastAsia="Arial" w:hAnsi="Arial" w:cs="Arial"/>
          <w:sz w:val="20"/>
          <w:szCs w:val="20"/>
        </w:rPr>
        <w:t>. Automatyzacja i robotyzacja p</w:t>
      </w:r>
      <w:r w:rsidR="00717DD6" w:rsidRPr="0076197B">
        <w:rPr>
          <w:rFonts w:ascii="Arial" w:eastAsia="Arial" w:hAnsi="Arial" w:cs="Arial"/>
          <w:sz w:val="20"/>
          <w:szCs w:val="20"/>
        </w:rPr>
        <w:t>rzyspiesza</w:t>
      </w:r>
      <w:r w:rsidR="00717DD6" w:rsidRPr="0076197B">
        <w:rPr>
          <w:rFonts w:ascii="Arial" w:eastAsia="Arial" w:hAnsi="Arial" w:cs="Arial"/>
          <w:sz w:val="20"/>
          <w:szCs w:val="20"/>
        </w:rPr>
        <w:t>ją</w:t>
      </w:r>
      <w:r w:rsidR="00717DD6" w:rsidRPr="0076197B">
        <w:rPr>
          <w:rFonts w:ascii="Arial" w:eastAsia="Arial" w:hAnsi="Arial" w:cs="Arial"/>
          <w:sz w:val="20"/>
          <w:szCs w:val="20"/>
        </w:rPr>
        <w:t xml:space="preserve"> drog</w:t>
      </w:r>
      <w:r w:rsidR="00717DD6" w:rsidRPr="0076197B">
        <w:rPr>
          <w:rFonts w:ascii="Arial" w:eastAsia="Arial" w:hAnsi="Arial" w:cs="Arial"/>
          <w:sz w:val="20"/>
          <w:szCs w:val="20"/>
        </w:rPr>
        <w:t>ę</w:t>
      </w:r>
      <w:r w:rsidR="00717DD6" w:rsidRPr="0076197B">
        <w:rPr>
          <w:rFonts w:ascii="Arial" w:eastAsia="Arial" w:hAnsi="Arial" w:cs="Arial"/>
          <w:sz w:val="20"/>
          <w:szCs w:val="20"/>
        </w:rPr>
        <w:t xml:space="preserve"> towaru, od produkcji do magazynu, a niezawodność, wydajność i ciągła praca maszyn stanowi wsparcie w łańcuchu dostaw.</w:t>
      </w:r>
      <w:r w:rsidR="00717DD6" w:rsidRPr="0076197B">
        <w:rPr>
          <w:rFonts w:ascii="Arial" w:eastAsia="Arial" w:hAnsi="Arial" w:cs="Arial"/>
          <w:sz w:val="20"/>
          <w:szCs w:val="20"/>
        </w:rPr>
        <w:t xml:space="preserve"> I</w:t>
      </w:r>
      <w:r w:rsidRPr="0076197B">
        <w:rPr>
          <w:rFonts w:ascii="Arial" w:eastAsia="Arial" w:hAnsi="Arial" w:cs="Arial"/>
          <w:sz w:val="20"/>
          <w:szCs w:val="20"/>
        </w:rPr>
        <w:t xml:space="preserve">ndywidualne rozwiązania, takie jak np. zaprojektowane </w:t>
      </w:r>
      <w:r>
        <w:rPr>
          <w:rFonts w:ascii="Arial" w:eastAsia="Arial" w:hAnsi="Arial" w:cs="Arial"/>
          <w:sz w:val="20"/>
          <w:szCs w:val="20"/>
        </w:rPr>
        <w:t xml:space="preserve">w pełni zautomatyzowane linie pakujące, gdzie maszyny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których wyłącznym dystrybutorem jest 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zintegrowane z systemami podaw</w:t>
      </w:r>
      <w:r>
        <w:rPr>
          <w:rFonts w:ascii="Arial" w:eastAsia="Arial" w:hAnsi="Arial" w:cs="Arial"/>
          <w:sz w:val="20"/>
          <w:szCs w:val="20"/>
        </w:rPr>
        <w:t>czymi i robotami</w:t>
      </w:r>
      <w:r w:rsidR="00717DD6">
        <w:rPr>
          <w:rFonts w:ascii="Arial" w:eastAsia="Arial" w:hAnsi="Arial" w:cs="Arial"/>
          <w:sz w:val="20"/>
          <w:szCs w:val="20"/>
        </w:rPr>
        <w:t>, są odpowiedzią na te potrzeby.</w:t>
      </w:r>
    </w:p>
    <w:p w14:paraId="00000010" w14:textId="77777777" w:rsidR="009109E5" w:rsidRDefault="009109E5">
      <w:pPr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1" w14:textId="74820962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Przykładami robotyzacji procesów są firmy specjalizujące się w budowie narzędzi i formowaniu wtryskowym tworzyw sztucznych</w:t>
      </w:r>
      <w:r w:rsidR="0076197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m.in. dla branż technologii medycznej i przemysłowej. Tam właśnie sprawdza się zastosowanie robota zintegrowanego z maszyną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który pobiera plastikowe części bezpośrednio z wtryskarki, które następnie przechodzą przez tunel, by zostać automatycznie spakowane do antystatycznych toreb. </w:t>
      </w:r>
    </w:p>
    <w:p w14:paraId="00000012" w14:textId="77777777" w:rsidR="009109E5" w:rsidRDefault="009109E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Zdaniem Karola Szostaka z firmy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zintegrowanie wtryskarek z maszynami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ro</w:t>
      </w:r>
      <w:r>
        <w:rPr>
          <w:rFonts w:ascii="Arial" w:eastAsia="Arial" w:hAnsi="Arial" w:cs="Arial"/>
          <w:sz w:val="20"/>
          <w:szCs w:val="20"/>
        </w:rPr>
        <w:t xml:space="preserve">botami podających, świetnie sprawdza się w branżach </w:t>
      </w:r>
      <w:proofErr w:type="spellStart"/>
      <w:r>
        <w:rPr>
          <w:rFonts w:ascii="Arial" w:eastAsia="Arial" w:hAnsi="Arial" w:cs="Arial"/>
          <w:sz w:val="20"/>
          <w:szCs w:val="20"/>
        </w:rPr>
        <w:t>automotive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elektrotechnicznej, produkcji </w:t>
      </w:r>
      <w:r>
        <w:rPr>
          <w:rFonts w:ascii="Arial" w:eastAsia="Arial" w:hAnsi="Arial" w:cs="Arial"/>
          <w:sz w:val="20"/>
          <w:szCs w:val="20"/>
        </w:rPr>
        <w:lastRenderedPageBreak/>
        <w:t>zabawek czy medycznej. Przykładami z rynku polskiego są formowane we wtryskarkach złączki i końcówki kablowe, ale też nakłuwacze medyczne dla diabetyków. W kolejn</w:t>
      </w:r>
      <w:r>
        <w:rPr>
          <w:rFonts w:ascii="Arial" w:eastAsia="Arial" w:hAnsi="Arial" w:cs="Arial"/>
          <w:sz w:val="20"/>
          <w:szCs w:val="20"/>
        </w:rPr>
        <w:t xml:space="preserve">ym kroku roboty, sparowane z urządzeniami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>, usprawniają konfekcjonowanie tych artykułów. Do grona firm, które wykorzystują automatyzację w działalności należą, m.in.: HTL Strefa, Zakład Aparatury Elektrycznej ERGOM czy producent końcówek i złączek k</w:t>
      </w:r>
      <w:r>
        <w:rPr>
          <w:rFonts w:ascii="Arial" w:eastAsia="Arial" w:hAnsi="Arial" w:cs="Arial"/>
          <w:sz w:val="20"/>
          <w:szCs w:val="20"/>
        </w:rPr>
        <w:t xml:space="preserve">ablowych ERKO. </w:t>
      </w:r>
    </w:p>
    <w:p w14:paraId="00000014" w14:textId="77777777" w:rsidR="009109E5" w:rsidRDefault="009109E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0FC67D0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Korzyści z automatyzacji i robotyzacji dla biznesu są duże, szczególnie w trudnych uwarunkowaniach gospodarczych związanych z wojną w Ukrainie czy pandemią, kiedy firmy niejednokrotnie mierzą się z absencjami pracowników. Przy masowej prod</w:t>
      </w:r>
      <w:r>
        <w:rPr>
          <w:rFonts w:ascii="Arial" w:eastAsia="Arial" w:hAnsi="Arial" w:cs="Arial"/>
          <w:sz w:val="20"/>
          <w:szCs w:val="20"/>
        </w:rPr>
        <w:t xml:space="preserve">ukcji komponentów, </w:t>
      </w:r>
      <w:r>
        <w:rPr>
          <w:rFonts w:ascii="Arial" w:eastAsia="Arial" w:hAnsi="Arial" w:cs="Arial"/>
          <w:sz w:val="20"/>
          <w:szCs w:val="20"/>
        </w:rPr>
        <w:t xml:space="preserve">np. w branży </w:t>
      </w:r>
      <w:proofErr w:type="spellStart"/>
      <w:r>
        <w:rPr>
          <w:rFonts w:ascii="Arial" w:eastAsia="Arial" w:hAnsi="Arial" w:cs="Arial"/>
          <w:sz w:val="20"/>
          <w:szCs w:val="20"/>
        </w:rPr>
        <w:t>automotive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czy elektrotechnicznej</w:t>
      </w:r>
      <w:r w:rsidR="0076197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robotyzacja oznacza większą precyzję, prędkość i powtarzalność.</w:t>
      </w:r>
    </w:p>
    <w:p w14:paraId="00000016" w14:textId="77777777" w:rsidR="009109E5" w:rsidRDefault="009109E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Urządzenia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stanowią ogniwo gotowe do integracji z robotami. Komunikują się z nimi sygnalizując poszczególne etapy</w:t>
      </w:r>
      <w:r>
        <w:rPr>
          <w:rFonts w:ascii="Arial" w:eastAsia="Arial" w:hAnsi="Arial" w:cs="Arial"/>
          <w:sz w:val="20"/>
          <w:szCs w:val="20"/>
        </w:rPr>
        <w:t xml:space="preserve">, tj. przekazanie informacji o przygotowaniu worka, jego status np. otwarty lub przyszykowany do nadruku. </w:t>
      </w:r>
    </w:p>
    <w:p w14:paraId="00000018" w14:textId="77777777" w:rsidR="009109E5" w:rsidRDefault="009109E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Wsparcie dla firm - ulga na robotyzację 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robogrant</w:t>
      </w:r>
      <w:proofErr w:type="spellEnd"/>
    </w:p>
    <w:p w14:paraId="0000001A" w14:textId="517B4A59" w:rsidR="009109E5" w:rsidRDefault="001E5D44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Firmy mogą korzystać ze wsparcia finansowego przy unowocześnianiu parku maszynowego. Od 2022 funkcjonuje ulga na robotyzację dla firm produkcyjnych, w ramach której przedsiębiorcy mogą odliczać nawet 150% wydatków na zakup nowych robotów, licencji, maszyn </w:t>
      </w:r>
      <w:r>
        <w:rPr>
          <w:rFonts w:ascii="Arial" w:eastAsia="Arial" w:hAnsi="Arial" w:cs="Arial"/>
          <w:sz w:val="20"/>
          <w:szCs w:val="20"/>
        </w:rPr>
        <w:t>i urządzeń peryferyjnych. Innym rozwiązaniem jest przygotow</w:t>
      </w:r>
      <w:r w:rsidR="00717DD6">
        <w:rPr>
          <w:rFonts w:ascii="Arial" w:eastAsia="Arial" w:hAnsi="Arial" w:cs="Arial"/>
          <w:sz w:val="20"/>
          <w:szCs w:val="20"/>
        </w:rPr>
        <w:t>yw</w:t>
      </w:r>
      <w:r>
        <w:rPr>
          <w:rFonts w:ascii="Arial" w:eastAsia="Arial" w:hAnsi="Arial" w:cs="Arial"/>
          <w:sz w:val="20"/>
          <w:szCs w:val="20"/>
        </w:rPr>
        <w:t>any przez Polską Agencję Rozwoju Przedsiębiorczości grant na robota, tzw. </w:t>
      </w:r>
      <w:proofErr w:type="spellStart"/>
      <w:r>
        <w:fldChar w:fldCharType="begin"/>
      </w:r>
      <w:r>
        <w:instrText xml:space="preserve"> HYPERLINK "http://alnea.pl/robogrant/" \h </w:instrText>
      </w:r>
      <w:r>
        <w:fldChar w:fldCharType="separate"/>
      </w:r>
      <w:r>
        <w:rPr>
          <w:rFonts w:ascii="Arial" w:eastAsia="Arial" w:hAnsi="Arial" w:cs="Arial"/>
          <w:sz w:val="20"/>
          <w:szCs w:val="20"/>
        </w:rPr>
        <w:t>robogrant</w:t>
      </w:r>
      <w:proofErr w:type="spellEnd"/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>, a więc konkurs dla firm produkcyjnych, gdzie dzięki dotacji wynosz</w:t>
      </w:r>
      <w:r>
        <w:rPr>
          <w:rFonts w:ascii="Arial" w:eastAsia="Arial" w:hAnsi="Arial" w:cs="Arial"/>
          <w:sz w:val="20"/>
          <w:szCs w:val="20"/>
        </w:rPr>
        <w:t xml:space="preserve">ącej nawet 1 mln zł,  można sfinansować zakup nowego robota przemysłowego. </w:t>
      </w:r>
    </w:p>
    <w:p w14:paraId="0000001B" w14:textId="77777777" w:rsidR="009109E5" w:rsidRDefault="009109E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44B34750" w:rsidR="009109E5" w:rsidRDefault="001E5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 wyborem odpowiedniej maszyny warto skorzystać z wiedzy i doświadczenia ekspertów z firmy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którzy </w:t>
      </w:r>
      <w:r w:rsidR="00717DD6">
        <w:rPr>
          <w:rFonts w:ascii="Arial" w:eastAsia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obecni na Targach </w:t>
      </w:r>
      <w:proofErr w:type="spellStart"/>
      <w:r>
        <w:rPr>
          <w:rFonts w:ascii="Arial" w:eastAsia="Arial" w:hAnsi="Arial" w:cs="Arial"/>
          <w:sz w:val="20"/>
          <w:szCs w:val="20"/>
        </w:rPr>
        <w:t>Warsaw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Pack (26-28.04.).</w:t>
      </w:r>
      <w:r>
        <w:rPr>
          <w:rFonts w:ascii="Arial" w:eastAsia="Arial" w:hAnsi="Arial" w:cs="Arial"/>
          <w:sz w:val="20"/>
          <w:szCs w:val="20"/>
        </w:rPr>
        <w:t xml:space="preserve"> Znajomość rozwiązań wykorzystywanych na zautomatyzowanych i zrobotyzowanych liniach pakujących, które wspomagają procesy logistyczne, ułatwi podjęcie właściwej decyzji. Na stoisku nr B2.85 </w:t>
      </w:r>
      <w:r>
        <w:rPr>
          <w:rFonts w:ascii="Arial" w:eastAsia="Arial" w:hAnsi="Arial" w:cs="Arial"/>
          <w:sz w:val="20"/>
          <w:szCs w:val="20"/>
        </w:rPr>
        <w:t>dostępny</w:t>
      </w:r>
      <w:r w:rsidR="00717DD6">
        <w:rPr>
          <w:rFonts w:ascii="Arial" w:eastAsia="Arial" w:hAnsi="Arial" w:cs="Arial"/>
          <w:sz w:val="20"/>
          <w:szCs w:val="20"/>
        </w:rPr>
        <w:t xml:space="preserve"> jest</w:t>
      </w:r>
      <w:r>
        <w:rPr>
          <w:rFonts w:ascii="Arial" w:eastAsia="Arial" w:hAnsi="Arial" w:cs="Arial"/>
          <w:sz w:val="20"/>
          <w:szCs w:val="20"/>
        </w:rPr>
        <w:t xml:space="preserve"> ekspert, który odpowie na pytania związane pozyska</w:t>
      </w:r>
      <w:r>
        <w:rPr>
          <w:rFonts w:ascii="Arial" w:eastAsia="Arial" w:hAnsi="Arial" w:cs="Arial"/>
          <w:sz w:val="20"/>
          <w:szCs w:val="20"/>
        </w:rPr>
        <w:t xml:space="preserve">niem finansowania. Osoby, które nie pojawią się na targach, już dziś mogą zapoznać się z urządzeniami w wirtualnym </w:t>
      </w:r>
      <w:hyperlink r:id="rId9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showroomie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1D" w14:textId="77777777" w:rsidR="009109E5" w:rsidRDefault="0091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9109E5" w:rsidRDefault="001E5D44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0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1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2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Silny &amp; Salamon - wyłączny dystrybutor APS </w:t>
        </w:r>
        <w:proofErr w:type="spellStart"/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1F" w14:textId="77777777" w:rsidR="009109E5" w:rsidRDefault="001E5D44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0" w14:textId="77777777" w:rsidR="009109E5" w:rsidRDefault="001E5D44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firmie</w:t>
      </w:r>
    </w:p>
    <w:p w14:paraId="00000021" w14:textId="77777777" w:rsidR="009109E5" w:rsidRDefault="001E5D4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dysponuje 30-letnim doświadczeniem w dostarczaniu rozwiązań, zwiększających bezpieczeństwo w transporcie i logistyce, oraz w automatyzacji procesów pakowania w wielu branżach. Rozpoczęła działalność w 1989 roku jako mała rodzinna firma </w:t>
      </w:r>
      <w:r>
        <w:rPr>
          <w:rFonts w:ascii="Arial" w:eastAsia="Arial" w:hAnsi="Arial" w:cs="Arial"/>
          <w:sz w:val="20"/>
          <w:szCs w:val="20"/>
        </w:rPr>
        <w:t xml:space="preserve">handlowa, której celem było wprowadzenie nowoczesnych sposobów pakowania, zamykania i zabezpieczania produktów. Dziś to sprawdzony partner w biznesie, zapewniający skuteczne rozwiązania w transporcie, logistyce i </w:t>
      </w:r>
      <w:r>
        <w:rPr>
          <w:rFonts w:ascii="Arial" w:eastAsia="Arial" w:hAnsi="Arial" w:cs="Arial"/>
          <w:sz w:val="20"/>
          <w:szCs w:val="20"/>
        </w:rPr>
        <w:lastRenderedPageBreak/>
        <w:t>procesach produkcyjnych. Wielu klientów jes</w:t>
      </w:r>
      <w:r>
        <w:rPr>
          <w:rFonts w:ascii="Arial" w:eastAsia="Arial" w:hAnsi="Arial" w:cs="Arial"/>
          <w:sz w:val="20"/>
          <w:szCs w:val="20"/>
        </w:rPr>
        <w:t xml:space="preserve">t związanych z firmą ciągłą współpracą od wielu lat, należą do nich m.in.: </w:t>
      </w:r>
      <w:proofErr w:type="spellStart"/>
      <w:r>
        <w:rPr>
          <w:rFonts w:ascii="Arial" w:eastAsia="Arial" w:hAnsi="Arial" w:cs="Arial"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Automation Technology, Fischer Automotive, Zakład Aparatury Elektrycznej - ERGOM czy </w:t>
      </w:r>
      <w:proofErr w:type="spellStart"/>
      <w:r>
        <w:rPr>
          <w:rFonts w:ascii="Arial" w:eastAsia="Arial" w:hAnsi="Arial" w:cs="Arial"/>
          <w:sz w:val="20"/>
          <w:szCs w:val="20"/>
        </w:rPr>
        <w:t>Neuca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2" w14:textId="77777777" w:rsidR="009109E5" w:rsidRDefault="001E5D4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00000023" w14:textId="77777777" w:rsidR="009109E5" w:rsidRDefault="001E5D4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>, wśród firm wyróżniających się tempem rozwoju, z pozytywnym ratingiem wiarygodności i ryzyka współpracy, które jednocześnie mają wysoką płynność bieżącą i nie zalegają z płatnościami w ciągu os</w:t>
      </w:r>
      <w:r>
        <w:rPr>
          <w:rFonts w:ascii="Arial" w:eastAsia="Arial" w:hAnsi="Arial" w:cs="Arial"/>
          <w:sz w:val="20"/>
          <w:szCs w:val="20"/>
        </w:rPr>
        <w:t xml:space="preserve">tatnich trzech lat. </w:t>
      </w:r>
    </w:p>
    <w:p w14:paraId="00000024" w14:textId="77777777" w:rsidR="009109E5" w:rsidRDefault="009109E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9109E5" w:rsidRDefault="001E5D44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6" w14:textId="77777777" w:rsidR="009109E5" w:rsidRDefault="009109E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7" w14:textId="77777777" w:rsidR="009109E5" w:rsidRDefault="001E5D4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8" w14:textId="77777777" w:rsidR="009109E5" w:rsidRDefault="001E5D44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5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29" w14:textId="77777777" w:rsidR="009109E5" w:rsidRDefault="001E5D44">
      <w:pPr>
        <w:spacing w:after="0" w:line="360" w:lineRule="auto"/>
        <w:ind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 81-533 Gdynia, tel. +48 58 622 54 01 </w:t>
      </w:r>
    </w:p>
    <w:p w14:paraId="0000002A" w14:textId="77777777" w:rsidR="009109E5" w:rsidRDefault="009109E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2B" w14:textId="77777777" w:rsidR="009109E5" w:rsidRDefault="009109E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sectPr w:rsidR="009109E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9C79" w14:textId="77777777" w:rsidR="001E5D44" w:rsidRDefault="001E5D44">
      <w:pPr>
        <w:spacing w:after="0" w:line="240" w:lineRule="auto"/>
      </w:pPr>
      <w:r>
        <w:separator/>
      </w:r>
    </w:p>
  </w:endnote>
  <w:endnote w:type="continuationSeparator" w:id="0">
    <w:p w14:paraId="6EFF6E22" w14:textId="77777777" w:rsidR="001E5D44" w:rsidRDefault="001E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9109E5" w:rsidRDefault="009109E5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407" w14:textId="77777777" w:rsidR="001E5D44" w:rsidRDefault="001E5D44">
      <w:pPr>
        <w:spacing w:after="0" w:line="240" w:lineRule="auto"/>
      </w:pPr>
      <w:r>
        <w:separator/>
      </w:r>
    </w:p>
  </w:footnote>
  <w:footnote w:type="continuationSeparator" w:id="0">
    <w:p w14:paraId="51D2D536" w14:textId="77777777" w:rsidR="001E5D44" w:rsidRDefault="001E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109E5" w:rsidRDefault="009109E5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9FC"/>
    <w:multiLevelType w:val="multilevel"/>
    <w:tmpl w:val="3B327E3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099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E5"/>
    <w:rsid w:val="001E5D44"/>
    <w:rsid w:val="00717DD6"/>
    <w:rsid w:val="0076197B"/>
    <w:rsid w:val="009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6C23"/>
  <w15:docId w15:val="{835B0444-4ADA-4254-B5F3-0535218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B567F4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D205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2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textAlignment w:val="auto"/>
      <w:outlineLvl w:val="9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28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7C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showcase/silny-&amp;-salamon-wy%C5%82%C4%85czny-dystrybutor-aps-autobag-/?viewAsMember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ilnysalamon/?viewAsMember=tru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owanie.b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@lawendapr.com" TargetMode="External"/><Relationship Id="rId10" Type="http://schemas.openxmlformats.org/officeDocument/2006/relationships/hyperlink" Target="http://www.plomby.bi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kowanie.biz/showroom/" TargetMode="External"/><Relationship Id="rId14" Type="http://schemas.openxmlformats.org/officeDocument/2006/relationships/hyperlink" Target="https://www.linkedin.com/company/forbes-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z8rdqznjxCaK/sxH4InqJ90zA==">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dcterms:created xsi:type="dcterms:W3CDTF">2022-04-26T08:44:00Z</dcterms:created>
  <dcterms:modified xsi:type="dcterms:W3CDTF">2022-04-26T08:44:00Z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