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6FD2" w14:textId="77777777" w:rsidR="00021071" w:rsidRDefault="00147EC4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A441544" wp14:editId="10F0A301">
            <wp:extent cx="1322070" cy="73152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CC952" w14:textId="77777777" w:rsidR="00021071" w:rsidRDefault="00021071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5341659" w14:textId="77777777" w:rsidR="00021071" w:rsidRDefault="00147EC4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3A4A19B7" w14:textId="77777777" w:rsidR="00021071" w:rsidRDefault="00147EC4">
      <w:pPr>
        <w:spacing w:after="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Warszawa, 27 maja 2022</w:t>
      </w:r>
    </w:p>
    <w:p w14:paraId="47C962F6" w14:textId="77777777" w:rsidR="00021071" w:rsidRDefault="00021071">
      <w:pPr>
        <w:shd w:val="clear" w:color="auto" w:fill="FFFFFF"/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3E65D46" w14:textId="77777777" w:rsidR="00021071" w:rsidRDefault="00147EC4">
      <w:pPr>
        <w:shd w:val="clear" w:color="auto" w:fill="FFFFFF"/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>Różne wymiary e</w:t>
      </w:r>
      <w:r>
        <w:rPr>
          <w:rFonts w:ascii="Arial" w:eastAsia="Arial" w:hAnsi="Arial" w:cs="Arial"/>
          <w:b/>
          <w:color w:val="000000"/>
          <w:sz w:val="20"/>
          <w:szCs w:val="20"/>
        </w:rPr>
        <w:t>lastycznoś</w:t>
      </w:r>
      <w:r>
        <w:rPr>
          <w:rFonts w:ascii="Arial" w:eastAsia="Arial" w:hAnsi="Arial" w:cs="Arial"/>
          <w:b/>
          <w:sz w:val="20"/>
          <w:szCs w:val="20"/>
        </w:rPr>
        <w:t>ci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zabezpieczeń</w:t>
      </w:r>
    </w:p>
    <w:p w14:paraId="0794FB1C" w14:textId="77777777" w:rsidR="00021071" w:rsidRDefault="00021071">
      <w:pPr>
        <w:shd w:val="clear" w:color="auto" w:fill="FFFFFF"/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7208E1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Rola zabezpieczeń </w:t>
      </w:r>
      <w:r>
        <w:rPr>
          <w:rFonts w:ascii="Arial" w:eastAsia="Arial" w:hAnsi="Arial" w:cs="Arial"/>
          <w:b/>
          <w:sz w:val="20"/>
          <w:szCs w:val="20"/>
        </w:rPr>
        <w:t>w łańcuchu dostaw rośnie</w:t>
      </w:r>
      <w:r>
        <w:rPr>
          <w:rFonts w:ascii="Arial" w:eastAsia="Arial" w:hAnsi="Arial" w:cs="Arial"/>
          <w:b/>
          <w:color w:val="000000"/>
          <w:sz w:val="20"/>
          <w:szCs w:val="20"/>
        </w:rPr>
        <w:t>, choć często są traktowan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jako drobiazg. Pomimo tego, iż klienci Silny&amp;Salamon mają zazwyczaj dobrze opracowane strategie </w:t>
      </w:r>
      <w:r>
        <w:rPr>
          <w:rFonts w:ascii="Arial" w:eastAsia="Arial" w:hAnsi="Arial" w:cs="Arial"/>
          <w:b/>
          <w:sz w:val="20"/>
          <w:szCs w:val="20"/>
        </w:rPr>
        <w:t>logistyczne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to jednak ich realizacja zależy od szczegółów. </w:t>
      </w:r>
    </w:p>
    <w:p w14:paraId="26CBAA48" w14:textId="77777777" w:rsidR="00021071" w:rsidRDefault="0002107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506073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Zabezpieczenia w łańcuchu dostaw mają kilka wymiarów, a przykładami obrazującymi znaczenie ich bi</w:t>
      </w:r>
      <w:r>
        <w:rPr>
          <w:rFonts w:ascii="Arial" w:eastAsia="Arial" w:hAnsi="Arial" w:cs="Arial"/>
          <w:color w:val="000000"/>
          <w:sz w:val="20"/>
          <w:szCs w:val="20"/>
        </w:rPr>
        <w:t>eżącej dostępności są firmy, które oferują produkty wartościowe. Muszą być wielopoziomowo zabezpieczone i oznaczone, np. poprzez ciągłość numeracji poszczególnych egzemplarzy, kolorystykę plomb, co z kolei znajduje odzwierciedl</w:t>
      </w:r>
      <w:r>
        <w:rPr>
          <w:rFonts w:ascii="Arial" w:eastAsia="Arial" w:hAnsi="Arial" w:cs="Arial"/>
          <w:sz w:val="20"/>
          <w:szCs w:val="20"/>
        </w:rPr>
        <w:t>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systemach ewidencyjnyc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i magazynowych dopasowanych do wewnętrznych procesów. </w:t>
      </w:r>
    </w:p>
    <w:p w14:paraId="1C9102E2" w14:textId="77777777" w:rsidR="00021071" w:rsidRDefault="000210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28492F" w14:textId="77777777" w:rsidR="00021071" w:rsidRDefault="00147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– Niedostępność zabezpieczeń w przypadku takich klientów od razu wpływa na niemożność wysyłki produktów, a więc negatywnie oddziałuje na sprzedaż, relacje z klientami. Znane są nam takie sytuacje, k</w:t>
      </w:r>
      <w:r>
        <w:rPr>
          <w:rFonts w:ascii="Arial" w:eastAsia="Arial" w:hAnsi="Arial" w:cs="Arial"/>
          <w:i/>
          <w:color w:val="000000"/>
          <w:sz w:val="20"/>
          <w:szCs w:val="20"/>
        </w:rPr>
        <w:t>iedy firma potrzebowała natychmiastowych dostaw zabezpieczeń, gdyż jego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dalekowschodni dostawca zawiódł. Jesteśm</w:t>
      </w:r>
      <w:r>
        <w:rPr>
          <w:rFonts w:ascii="Arial" w:eastAsia="Arial" w:hAnsi="Arial" w:cs="Arial"/>
          <w:i/>
          <w:sz w:val="20"/>
          <w:szCs w:val="20"/>
        </w:rPr>
        <w:t xml:space="preserve">y w stanie wtedy szybko pomóc, ponieważ dysponujemy wysokim stanami magazynowymi i własną drukarnią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mówi Dagmara Puścikowska,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menedżer ds. rozwoju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E8C4293" w14:textId="77777777" w:rsidR="00021071" w:rsidRDefault="000210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45E2EB94" w14:textId="77777777" w:rsidR="00021071" w:rsidRDefault="00147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Elastyczna dostępność produktów</w:t>
      </w:r>
    </w:p>
    <w:p w14:paraId="2D746602" w14:textId="77777777" w:rsidR="00021071" w:rsidRDefault="00147EC4" w:rsidP="00784EDC">
      <w:pPr>
        <w:pStyle w:val="Nagwek2"/>
        <w:numPr>
          <w:ilvl w:val="0"/>
          <w:numId w:val="0"/>
        </w:numPr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Dzisiejsze zawirowania, takie jak trwająca wojna czy pandemia, powodują przerwanie łańcuchów dostaw, co oznacza trudności z realizacją zleceń, zaopatrywaniem klientów, zatrudnieniem, a także wzrostem cen.</w:t>
      </w:r>
    </w:p>
    <w:p w14:paraId="657A1B03" w14:textId="77777777" w:rsidR="00021071" w:rsidRDefault="000210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86B3C73" w14:textId="77777777" w:rsidR="00021071" w:rsidRDefault="00147EC4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Klient chce jednak otrzymać zabezpieczenia zawsze </w:t>
      </w:r>
      <w:r>
        <w:rPr>
          <w:rFonts w:ascii="Arial" w:eastAsia="Arial" w:hAnsi="Arial" w:cs="Arial"/>
          <w:sz w:val="20"/>
          <w:szCs w:val="20"/>
        </w:rPr>
        <w:t xml:space="preserve">na czas, a nawet od ręki. Dlatego też wzrosło znaczenie zwiększania zapasów i stanów magazynowych, a także siatki alternatywnych dostawców, najlepiej lokalnych lub zlokalizowanych niedaleko i dostępnych różnymi środkami transportu. </w:t>
      </w:r>
    </w:p>
    <w:p w14:paraId="64FAD301" w14:textId="77777777" w:rsidR="00021071" w:rsidRDefault="00021071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</w:p>
    <w:p w14:paraId="057DB54B" w14:textId="77777777" w:rsidR="00021071" w:rsidRDefault="00147EC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Atutem lokalnych dosta</w:t>
      </w:r>
      <w:r>
        <w:rPr>
          <w:rFonts w:ascii="Arial" w:eastAsia="Arial" w:hAnsi="Arial" w:cs="Arial"/>
          <w:color w:val="000000"/>
          <w:sz w:val="20"/>
          <w:szCs w:val="20"/>
        </w:rPr>
        <w:t>wców, takich jak firma Silny&amp;Salamon, która działa na rynku od 30 lat, jest szybkość w działaniu. Jest to możliwe m.in. dzięki własnej drukarni, gdzie na miejscu można nadać indywidualne oznaczenia, kontrolę numeracji, logotyp czy kod kreskowy. Poza tym 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świadczenie pozwala wykraczać poza rolę dostawcy gotowych produktów na rzecz doradcy w projektowaniu i wdrażaniu zabezpieczeń, który rozwiązuje konkretne problemy i optymalizuje łańcuchy dostaw.  </w:t>
      </w:r>
    </w:p>
    <w:p w14:paraId="42A0AF40" w14:textId="77777777" w:rsidR="00021071" w:rsidRDefault="00021071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96FFC26" w14:textId="77777777" w:rsidR="00021071" w:rsidRDefault="00147EC4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Pewny i elastyczny łańcuch dostaw</w:t>
      </w:r>
    </w:p>
    <w:p w14:paraId="482905BC" w14:textId="43E3B68F" w:rsidR="00021071" w:rsidRDefault="00147EC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Łańcuch dostaw można uodpornić stosując rozwiązania,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które zapewnią bezpieczeństwo i ciągłość informacji na każdym jego etapie. Pierwszy krok to zakodowanie w plombach </w:t>
      </w:r>
      <w:r>
        <w:rPr>
          <w:rFonts w:ascii="Arial" w:eastAsia="Arial" w:hAnsi="Arial" w:cs="Arial"/>
          <w:sz w:val="20"/>
          <w:szCs w:val="20"/>
        </w:rPr>
        <w:t>informacji o surowcach, komponentach i finalnym produkcie. Na etapie pakowania produktów</w:t>
      </w:r>
      <w:r>
        <w:rPr>
          <w:rFonts w:ascii="Arial" w:eastAsia="Arial" w:hAnsi="Arial" w:cs="Arial"/>
          <w:sz w:val="20"/>
          <w:szCs w:val="20"/>
        </w:rPr>
        <w:t xml:space="preserve"> z kolei, kluczowe są zabezpieczenia artykułów i opakowań, by w magazynie można było łatwo zrobić inwentaryzację, potwierdzić nienaruszalność towaru, czy oznaczyć poszczególne strefy. Natomiast, gdy produkt wyrusza w drogę</w:t>
      </w:r>
      <w:r w:rsidR="00A82CEC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niezbędne jest monitorowanie ładu</w:t>
      </w:r>
      <w:r>
        <w:rPr>
          <w:rFonts w:ascii="Arial" w:eastAsia="Arial" w:hAnsi="Arial" w:cs="Arial"/>
          <w:sz w:val="20"/>
          <w:szCs w:val="20"/>
        </w:rPr>
        <w:t>nku oraz identyfikacja i zabezpieczenie, by dotarł nienaruszony.</w:t>
      </w:r>
    </w:p>
    <w:p w14:paraId="68CDE585" w14:textId="77777777" w:rsidR="00021071" w:rsidRDefault="000210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EB128E" w14:textId="62A05642" w:rsidR="00021071" w:rsidRDefault="00147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– Sprzedaż to dziś aktywna współpraca, kontakt i zrozumienie potrzeb klienta, a także bieżąca praca z nim.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Często się okazuje, że plomba czy innego rodzaju zabezpieczenie może być rozwiązaniem zupełnie innych problemów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dodaje Dagmara Puścikowska</w:t>
      </w:r>
      <w:r w:rsidR="00A82CEC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E33B95C" w14:textId="77777777" w:rsidR="00021071" w:rsidRDefault="000210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215AEE38" w14:textId="77777777" w:rsidR="00021071" w:rsidRDefault="00147E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Dowodem na to jest firma z branży energetycznej, gdzie ze względu na specyfikę działalności, spisywano ręcznie numerację z plomby do ewidencji, a koniecznym było usprawnienie tego etapu. Specjaliści z Silny&amp;Salamon zaproponowali optymalizac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ję ewidencji poprzez dostarczenie dodatkowej etykiety wraz z plombą z identyczną numeracją. Rozwiązanie skróciło proces i wyeliminowało możliwość popełnienia błędu przy ręcznym przepisywaniu. </w:t>
      </w:r>
    </w:p>
    <w:p w14:paraId="38718E1F" w14:textId="77777777" w:rsidR="00021071" w:rsidRDefault="0002107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660271" w14:textId="77777777" w:rsidR="00021071" w:rsidRDefault="00147EC4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Elastyczność w kreowaniu rozwiązań</w:t>
      </w:r>
    </w:p>
    <w:p w14:paraId="1F789852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Często okazuje się, że goto</w:t>
      </w:r>
      <w:r>
        <w:rPr>
          <w:rFonts w:ascii="Arial" w:eastAsia="Arial" w:hAnsi="Arial" w:cs="Arial"/>
          <w:color w:val="000000"/>
          <w:sz w:val="20"/>
          <w:szCs w:val="20"/>
        </w:rPr>
        <w:t>we rozwiązania na rynku zabezpieczeń i zamknięć nie spełniają wszystkich wymagań klientów, a szeroki wachlarz plomb plastikowych, metalowych, butelkowych, linkowych, licznikowych</w:t>
      </w:r>
      <w:r>
        <w:rPr>
          <w:rFonts w:ascii="Arial" w:eastAsia="Arial" w:hAnsi="Arial" w:cs="Arial"/>
          <w:sz w:val="20"/>
          <w:szCs w:val="20"/>
        </w:rPr>
        <w:t xml:space="preserve"> 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elektronicznych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nie odpowiada specyficznym wymaganiom. Wtedy niezbędna j</w:t>
      </w:r>
      <w:r>
        <w:rPr>
          <w:rFonts w:ascii="Arial" w:eastAsia="Arial" w:hAnsi="Arial" w:cs="Arial"/>
          <w:color w:val="000000"/>
          <w:sz w:val="20"/>
          <w:szCs w:val="20"/>
        </w:rPr>
        <w:t>est umiejętność stworzenia nowych produktów, które zapewnią bezpieczeństwo.</w:t>
      </w:r>
    </w:p>
    <w:p w14:paraId="70785196" w14:textId="77777777" w:rsidR="00021071" w:rsidRDefault="0002107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DED27D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Dobrym przykładem była zgłoszona przez naszego klienta, firmę kurierską, potrzeba zapewnienia bezpieczeństwa terminali płatniczych użytkowanych przez kurierów. Konieczne było st</w:t>
      </w:r>
      <w:r>
        <w:rPr>
          <w:rFonts w:ascii="Arial" w:eastAsia="Arial" w:hAnsi="Arial" w:cs="Arial"/>
          <w:i/>
          <w:color w:val="000000"/>
          <w:sz w:val="20"/>
          <w:szCs w:val="20"/>
        </w:rPr>
        <w:t>worzenie prototypów etui, by wypracować finalną wersję, która zabezpieczy sprzęty i będzie ergonomiczna. Powstał produkt, który dobrze sprawdza się w codziennej pracy, a klient utwierdził się w przekonaniu, że może do nas wracać z różnymi potrzebami w obsz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arze bezpieczeństwa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podkreśla Dagmara Puścikowska.</w:t>
      </w:r>
    </w:p>
    <w:p w14:paraId="493DEDEF" w14:textId="77777777" w:rsidR="00021071" w:rsidRDefault="00021071">
      <w:pPr>
        <w:spacing w:after="0" w:line="36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67DDD292" w14:textId="77777777" w:rsidR="00021071" w:rsidRDefault="00147EC4">
      <w:pP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tak płynnych i niepewnych czasach, od elastyczności dostaw i produktów, dobrego rozumienia biznesu klienta i zaufania w relacjach zależy sukces. Zabezpieczenie, </w:t>
      </w:r>
      <w:r>
        <w:rPr>
          <w:rFonts w:ascii="Arial" w:eastAsia="Arial" w:hAnsi="Arial" w:cs="Arial"/>
          <w:sz w:val="20"/>
          <w:szCs w:val="20"/>
        </w:rPr>
        <w:t>mały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element, ma jednak kilka wymiarów wspierających procesy logistyczne i m</w:t>
      </w:r>
      <w:r>
        <w:rPr>
          <w:rFonts w:ascii="Arial" w:eastAsia="Arial" w:hAnsi="Arial" w:cs="Arial"/>
          <w:sz w:val="20"/>
          <w:szCs w:val="20"/>
        </w:rPr>
        <w:t>oże okazać się przełomem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43E428B2" w14:textId="77777777" w:rsidR="00021071" w:rsidRDefault="00021071">
      <w:pP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F9FF98" w14:textId="77777777" w:rsidR="00021071" w:rsidRDefault="00147EC4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www.plomby.biz</w:t>
        </w:r>
      </w:hyperlink>
      <w:r>
        <w:rPr>
          <w:rFonts w:ascii="Arial" w:eastAsia="Arial" w:hAnsi="Arial" w:cs="Arial"/>
          <w:sz w:val="20"/>
          <w:szCs w:val="20"/>
        </w:rPr>
        <w:t xml:space="preserve"> i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wanie.biz</w:t>
        </w:r>
      </w:hyperlink>
      <w:r>
        <w:rPr>
          <w:rFonts w:ascii="Arial" w:eastAsia="Arial" w:hAnsi="Arial" w:cs="Arial"/>
          <w:sz w:val="20"/>
          <w:szCs w:val="20"/>
        </w:rPr>
        <w:t xml:space="preserve"> oraz na profilach LinkedIn: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Sp. z o.o.</w:t>
        </w:r>
      </w:hyperlink>
      <w:r>
        <w:rPr>
          <w:rFonts w:ascii="Arial" w:eastAsia="Arial" w:hAnsi="Arial" w:cs="Arial"/>
          <w:sz w:val="20"/>
          <w:szCs w:val="20"/>
        </w:rPr>
        <w:t xml:space="preserve"> (profil główny) i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Silny &amp; Salamon - wyłączny dystrybutor APS Autobag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BCF3645" w14:textId="77777777" w:rsidR="00021071" w:rsidRDefault="00147EC4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761DCEC" w14:textId="77777777" w:rsidR="00021071" w:rsidRDefault="0002107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064F3EB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Silny&amp;Salamon</w:t>
      </w:r>
    </w:p>
    <w:p w14:paraId="4BEE6253" w14:textId="77777777" w:rsidR="00021071" w:rsidRDefault="00147EC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Firma Silny&amp;Salamon dysponuje ponad 30-letnim doświadczeniem w dostarczaniu rozwiązań, zwiększających bezpieczeństwo w transporcie i logi</w:t>
      </w:r>
      <w:r>
        <w:rPr>
          <w:rFonts w:ascii="Arial" w:eastAsia="Arial" w:hAnsi="Arial" w:cs="Arial"/>
          <w:color w:val="000000"/>
          <w:sz w:val="20"/>
          <w:szCs w:val="20"/>
        </w:rPr>
        <w:t>styce, oraz automatyz</w:t>
      </w:r>
      <w:r>
        <w:rPr>
          <w:rFonts w:ascii="Arial" w:eastAsia="Arial" w:hAnsi="Arial" w:cs="Arial"/>
          <w:sz w:val="20"/>
          <w:szCs w:val="20"/>
        </w:rPr>
        <w:t>ujących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proces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pakowania w wielu branżach. </w:t>
      </w:r>
      <w:r>
        <w:rPr>
          <w:rFonts w:ascii="Arial" w:eastAsia="Arial" w:hAnsi="Arial" w:cs="Arial"/>
          <w:sz w:val="20"/>
          <w:szCs w:val="20"/>
        </w:rPr>
        <w:t xml:space="preserve">Rozpoczęła działalność w 1989 roku jako mała rodzinna firma handlowa, której celem było wprowadzenie nowoczesnych sposobów pakowania, zamykania i zabezpieczania produktów. Dziś to sprawdzony </w:t>
      </w:r>
      <w:r>
        <w:rPr>
          <w:rFonts w:ascii="Arial" w:eastAsia="Arial" w:hAnsi="Arial" w:cs="Arial"/>
          <w:sz w:val="20"/>
          <w:szCs w:val="20"/>
        </w:rPr>
        <w:t xml:space="preserve">partner w biznesie, zapewniający skuteczne rozwiązania w transporcie, logistyce i procesach produkcyjnych. Wielu klientów jest związanych z firmą ciągłą współpracą od wielu lat, należą do nich m.in.: Grupa Azoty, Carrefour, Poczta Polska czy Neuca. </w:t>
      </w:r>
    </w:p>
    <w:p w14:paraId="133EEFD5" w14:textId="77777777" w:rsidR="00021071" w:rsidRDefault="00021071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0838482" w14:textId="77777777" w:rsidR="00021071" w:rsidRDefault="00147EC4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Spółka znalazła się na liście Diamentów 2021 miesięcznika </w:t>
      </w:r>
      <w:hyperlink r:id="rId13">
        <w:r>
          <w:rPr>
            <w:rFonts w:ascii="Arial" w:eastAsia="Arial" w:hAnsi="Arial" w:cs="Arial"/>
            <w:sz w:val="20"/>
            <w:szCs w:val="20"/>
          </w:rPr>
          <w:t>Forbes Polska</w:t>
        </w:r>
      </w:hyperlink>
      <w:r>
        <w:rPr>
          <w:rFonts w:ascii="Arial" w:eastAsia="Arial" w:hAnsi="Arial" w:cs="Arial"/>
          <w:sz w:val="20"/>
          <w:szCs w:val="20"/>
        </w:rPr>
        <w:t>, wśród firm wyróżniających się tempem rozwoju, z pozytywnym ratingiem wiarygodności i ryzyka współpracy, które jednoc</w:t>
      </w:r>
      <w:r>
        <w:rPr>
          <w:rFonts w:ascii="Arial" w:eastAsia="Arial" w:hAnsi="Arial" w:cs="Arial"/>
          <w:sz w:val="20"/>
          <w:szCs w:val="20"/>
        </w:rPr>
        <w:t xml:space="preserve">ześnie mają wysoką płynność bieżącą i nie zalegają z płatnościami w ciągu ostatnich trzech lat. </w:t>
      </w:r>
    </w:p>
    <w:p w14:paraId="007F7008" w14:textId="77777777" w:rsidR="00021071" w:rsidRDefault="00021071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F99FAD" w14:textId="77777777" w:rsidR="00021071" w:rsidRDefault="00147EC4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0A6F6F3E" w14:textId="77777777" w:rsidR="00021071" w:rsidRDefault="00021071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00B4FC3" w14:textId="77777777" w:rsidR="00021071" w:rsidRDefault="00147EC4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7CFFD0CD" w14:textId="77777777" w:rsidR="00021071" w:rsidRDefault="00147EC4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</w:t>
        </w:r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zka@lawendapr.com</w:t>
        </w:r>
      </w:hyperlink>
    </w:p>
    <w:p w14:paraId="7CFA52B6" w14:textId="77777777" w:rsidR="00021071" w:rsidRDefault="00147EC4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Silny&amp;Salamon Sp. z o.o., ul. Druskiennicka 20 81-533 Gdynia, tel. +48 58 622 54 01 </w:t>
      </w:r>
    </w:p>
    <w:sectPr w:rsidR="0002107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39AF" w14:textId="77777777" w:rsidR="00147EC4" w:rsidRDefault="00147EC4">
      <w:pPr>
        <w:spacing w:after="0" w:line="240" w:lineRule="auto"/>
      </w:pPr>
      <w:r>
        <w:separator/>
      </w:r>
    </w:p>
  </w:endnote>
  <w:endnote w:type="continuationSeparator" w:id="0">
    <w:p w14:paraId="0AED2DD5" w14:textId="77777777" w:rsidR="00147EC4" w:rsidRDefault="0014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BF46" w14:textId="77777777" w:rsidR="00021071" w:rsidRDefault="00021071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A51F" w14:textId="77777777" w:rsidR="00147EC4" w:rsidRDefault="00147EC4">
      <w:pPr>
        <w:spacing w:after="0" w:line="240" w:lineRule="auto"/>
      </w:pPr>
      <w:r>
        <w:separator/>
      </w:r>
    </w:p>
  </w:footnote>
  <w:footnote w:type="continuationSeparator" w:id="0">
    <w:p w14:paraId="7492B1E8" w14:textId="77777777" w:rsidR="00147EC4" w:rsidRDefault="0014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160" w14:textId="77777777" w:rsidR="00021071" w:rsidRDefault="00021071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4F2"/>
    <w:multiLevelType w:val="multilevel"/>
    <w:tmpl w:val="C85AC8A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86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71"/>
    <w:rsid w:val="00021071"/>
    <w:rsid w:val="00147EC4"/>
    <w:rsid w:val="00784EDC"/>
    <w:rsid w:val="00A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E9F"/>
  <w15:docId w15:val="{4BC5AF39-C46B-4C99-911D-2B92F87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-1"/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styleId="Nierozpoznanawzmianka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paragraph" w:styleId="Poprawka">
    <w:name w:val="Revision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1DF0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Pr>
      <w:sz w:val="20"/>
      <w:szCs w:val="20"/>
    </w:rPr>
  </w:style>
  <w:style w:type="paragraph" w:customStyle="1" w:styleId="txt-bez-wciecie">
    <w:name w:val="txt-bez-wciecie"/>
    <w:basedOn w:val="Normalny"/>
    <w:rsid w:val="00633813"/>
    <w:pPr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">
    <w:name w:val="txt"/>
    <w:basedOn w:val="Normalny"/>
    <w:rsid w:val="00633813"/>
    <w:pPr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-punkty">
    <w:name w:val="txt-punkty"/>
    <w:basedOn w:val="Normalny"/>
    <w:rsid w:val="00633813"/>
    <w:pPr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company/forbes-pols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howcase/silny-&amp;-salamon-wy%C5%82%C4%85czny-dystrybutor-aps-autobag-/?viewAsMember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silnysalamon/?viewAsMember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kowanie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mby.biz/" TargetMode="External"/><Relationship Id="rId14" Type="http://schemas.openxmlformats.org/officeDocument/2006/relationships/hyperlink" Target="mailto:agnieszka@lawenda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uLOx4g8mASLoHj2rPWUEkUpGw==">AMUW2mWTrk17Cj+eG4KhknNZQSLF+41zf5U+GwDRJAUjKUX+ra/vQC/919uOHxOtPBKv1xgYkZg6LAt7cBrj4NN0EtxFKnj85VNjED+eIrdah++WEIXPfAL6E1FdyKvT4o4HOb1Q/jH7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3</cp:revision>
  <cp:lastPrinted>2022-05-27T07:37:00Z</cp:lastPrinted>
  <dcterms:created xsi:type="dcterms:W3CDTF">2022-05-27T07:36:00Z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