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F1C6" w14:textId="77777777" w:rsidR="00087CB0" w:rsidRDefault="00D40A8D">
      <w:pPr>
        <w:spacing w:after="0" w:line="360" w:lineRule="auto"/>
        <w:ind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CD95DDF" wp14:editId="09F2F7E6">
            <wp:extent cx="1322070" cy="73152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B41B50" w14:textId="77777777" w:rsidR="00087CB0" w:rsidRDefault="00087CB0">
      <w:pPr>
        <w:spacing w:after="0" w:line="360" w:lineRule="auto"/>
        <w:ind w:hanging="2"/>
        <w:rPr>
          <w:rFonts w:ascii="Arial" w:eastAsia="Arial" w:hAnsi="Arial" w:cs="Arial"/>
          <w:b/>
          <w:sz w:val="20"/>
          <w:szCs w:val="20"/>
        </w:rPr>
      </w:pPr>
    </w:p>
    <w:p w14:paraId="2E88927F" w14:textId="77777777" w:rsidR="00087CB0" w:rsidRDefault="00D40A8D">
      <w:pPr>
        <w:spacing w:after="0"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4868E216" w14:textId="77777777" w:rsidR="00087CB0" w:rsidRDefault="00D40A8D">
      <w:pPr>
        <w:spacing w:after="0" w:line="360" w:lineRule="auto"/>
        <w:ind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Warszawa, 28 czerwca 2022</w:t>
      </w:r>
    </w:p>
    <w:p w14:paraId="7AB6388F" w14:textId="77777777" w:rsidR="00087CB0" w:rsidRDefault="00087CB0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3BA4CC99" w14:textId="77777777" w:rsidR="00087CB0" w:rsidRDefault="00D40A8D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Nowość, która wesprze procesy produkcyjno-logistyczne </w:t>
      </w:r>
    </w:p>
    <w:p w14:paraId="3C49CCCB" w14:textId="77777777" w:rsidR="00087CB0" w:rsidRDefault="00087CB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76425EF6" w14:textId="77777777" w:rsidR="00087CB0" w:rsidRDefault="00D40A8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Silny&amp;Salamon wprowadza na rynek nowość, stół wibracyjny Detab DG Flex Feeder, który odpowiada na wyzwania firm z branży elektronicznej, elektrotechnicznej, automotive czy meblowej. Innowacja poprawi efektywność procesów produkcyjnych i logistycznych.  </w:t>
      </w:r>
    </w:p>
    <w:p w14:paraId="6B41EDB0" w14:textId="77777777" w:rsidR="00087CB0" w:rsidRDefault="00087CB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B486F8C" w14:textId="77777777" w:rsidR="00087CB0" w:rsidRDefault="00D40A8D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arządzający często mierzą się z niewystarczającą elastycznością i niską efektywnością procesów produkcyjnych i logistycznych. Branże, takie jak elektroniczna, elektrotechniczna, automotive czy meblowa, często korzystają z komponentów trudnych do podawania,</w:t>
      </w:r>
      <w:r>
        <w:rPr>
          <w:rFonts w:ascii="Arial" w:eastAsia="Arial" w:hAnsi="Arial" w:cs="Arial"/>
          <w:sz w:val="20"/>
          <w:szCs w:val="20"/>
        </w:rPr>
        <w:t xml:space="preserve"> liczenia i pakowania. </w:t>
      </w:r>
    </w:p>
    <w:p w14:paraId="04EC3C62" w14:textId="77777777" w:rsidR="00087CB0" w:rsidRDefault="00087CB0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5D52C01" w14:textId="3B2622BD" w:rsidR="00087CB0" w:rsidRDefault="00D40A8D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– Wiem, jakim wyzwaniem dla naszych klientów jest sortowanie i konfekcjonowanie produktów zaczepiających się o siebie np. sprężyn lub sklejających się o-ringów czy innych gumowych elementów lub też tak drobnych, że ciężko je uchwyc</w:t>
      </w:r>
      <w:r>
        <w:rPr>
          <w:rFonts w:ascii="Arial" w:eastAsia="Arial" w:hAnsi="Arial" w:cs="Arial"/>
          <w:i/>
          <w:sz w:val="20"/>
          <w:szCs w:val="20"/>
        </w:rPr>
        <w:t xml:space="preserve">ić. Rozwiązaniem tych problemów jest właśnie stół wibracyjny </w:t>
      </w:r>
      <w:hyperlink r:id="rId9" w:history="1">
        <w:r w:rsidRPr="007A4A8E">
          <w:rPr>
            <w:rStyle w:val="Hipercze"/>
            <w:rFonts w:ascii="Arial" w:eastAsia="Arial" w:hAnsi="Arial" w:cs="Arial"/>
            <w:i/>
            <w:sz w:val="20"/>
            <w:szCs w:val="20"/>
          </w:rPr>
          <w:t>Detab DG Flex Feeder</w:t>
        </w:r>
      </w:hyperlink>
      <w:r>
        <w:rPr>
          <w:rFonts w:ascii="Arial" w:eastAsia="Arial" w:hAnsi="Arial" w:cs="Arial"/>
          <w:i/>
          <w:sz w:val="20"/>
          <w:szCs w:val="20"/>
        </w:rPr>
        <w:t>, który wprowadzamy na polski rynek –</w:t>
      </w:r>
      <w:r>
        <w:rPr>
          <w:rFonts w:ascii="Arial" w:eastAsia="Arial" w:hAnsi="Arial" w:cs="Arial"/>
          <w:sz w:val="20"/>
          <w:szCs w:val="20"/>
        </w:rPr>
        <w:t xml:space="preserve"> mówi Karol Szostak z firmy Silny&amp;Salamon.</w:t>
      </w:r>
    </w:p>
    <w:p w14:paraId="0E06093E" w14:textId="77777777" w:rsidR="00087CB0" w:rsidRDefault="00087CB0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189D5223" w14:textId="77777777" w:rsidR="00087CB0" w:rsidRDefault="00D40A8D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Maszyna, która rozpozna i zapamięta każdy kształt</w:t>
      </w:r>
    </w:p>
    <w:p w14:paraId="6664CE8C" w14:textId="19EF8089" w:rsidR="00087CB0" w:rsidRDefault="00D40A8D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Urządzenie wyposażone jest w system kontroli</w:t>
      </w:r>
      <w:r>
        <w:rPr>
          <w:rFonts w:ascii="Arial" w:eastAsia="Arial" w:hAnsi="Arial" w:cs="Arial"/>
          <w:sz w:val="20"/>
          <w:szCs w:val="20"/>
        </w:rPr>
        <w:t xml:space="preserve"> jakości EKOVISION 5000, który wspomaga sortowanie, pozycjonowanie i liczenie elementów o dowolnym kształcie. To właśnie ta ostatnia funkcjonalność jest  największą zaletą tego modelu. Pozwala ona na identyfikację ponad </w:t>
      </w:r>
      <w:r w:rsidR="007A4A8E">
        <w:rPr>
          <w:rFonts w:ascii="Arial" w:eastAsia="Arial" w:hAnsi="Arial" w:cs="Arial"/>
          <w:sz w:val="20"/>
          <w:szCs w:val="20"/>
        </w:rPr>
        <w:t xml:space="preserve">10 </w:t>
      </w:r>
      <w:r>
        <w:rPr>
          <w:rFonts w:ascii="Arial" w:eastAsia="Arial" w:hAnsi="Arial" w:cs="Arial"/>
          <w:sz w:val="20"/>
          <w:szCs w:val="20"/>
        </w:rPr>
        <w:t>tys. artykułów o różnorodnej wie</w:t>
      </w:r>
      <w:r>
        <w:rPr>
          <w:rFonts w:ascii="Arial" w:eastAsia="Arial" w:hAnsi="Arial" w:cs="Arial"/>
          <w:sz w:val="20"/>
          <w:szCs w:val="20"/>
        </w:rPr>
        <w:t xml:space="preserve">lkości i formie, w tym rozpoznawanie niewłaściwych i ich oddzielanie. </w:t>
      </w:r>
    </w:p>
    <w:p w14:paraId="4454B5CA" w14:textId="77777777" w:rsidR="00087CB0" w:rsidRDefault="00087CB0">
      <w:pPr>
        <w:spacing w:after="0" w:line="360" w:lineRule="auto"/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00CED390" w14:textId="77777777" w:rsidR="00087CB0" w:rsidRDefault="00D40A8D">
      <w:pPr>
        <w:spacing w:after="0" w:line="360" w:lineRule="auto"/>
        <w:ind w:hanging="2"/>
        <w:jc w:val="both"/>
      </w:pPr>
      <w:r>
        <w:rPr>
          <w:rFonts w:ascii="Arial" w:eastAsia="Arial" w:hAnsi="Arial" w:cs="Arial"/>
          <w:sz w:val="20"/>
          <w:szCs w:val="20"/>
        </w:rPr>
        <w:t>Maszyna o kompaktowych gabarytach zapewnia cichą i płynną obsługę części i produktów różnorodnego typu, w rozmiarach od 1 do 200 mm długości. Model posiada także zintegrowany magazynek</w:t>
      </w:r>
      <w:r>
        <w:rPr>
          <w:rFonts w:ascii="Arial" w:eastAsia="Arial" w:hAnsi="Arial" w:cs="Arial"/>
          <w:sz w:val="20"/>
          <w:szCs w:val="20"/>
        </w:rPr>
        <w:t xml:space="preserve"> buforowy, który zapewnia ciągłe dostarczanie komponentów.</w:t>
      </w:r>
      <w:r>
        <w:t xml:space="preserve"> </w:t>
      </w:r>
    </w:p>
    <w:p w14:paraId="1996F23D" w14:textId="77777777" w:rsidR="00087CB0" w:rsidRDefault="00087CB0">
      <w:pPr>
        <w:spacing w:after="0" w:line="360" w:lineRule="auto"/>
        <w:ind w:hanging="2"/>
        <w:jc w:val="both"/>
      </w:pPr>
    </w:p>
    <w:p w14:paraId="4ED7C71B" w14:textId="77777777" w:rsidR="00087CB0" w:rsidRDefault="00D40A8D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Integracja z maszynami pakującymi i robotami</w:t>
      </w:r>
    </w:p>
    <w:p w14:paraId="46FE3DF3" w14:textId="77777777" w:rsidR="00087CB0" w:rsidRDefault="00D40A8D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Podajnik DG Flex Feeder można zintegrować z maszynami pakującymi Autobag. Współpracuje też z robotami i systemami pick-and-place, gdzie części są podawane do ustalonej pozycji, a następnie umieszczane w kolejce do pakowania. Wydajność urządzenia wynosi do </w:t>
      </w:r>
      <w:r>
        <w:rPr>
          <w:rFonts w:ascii="Arial" w:eastAsia="Arial" w:hAnsi="Arial" w:cs="Arial"/>
          <w:sz w:val="20"/>
          <w:szCs w:val="20"/>
        </w:rPr>
        <w:t>200 elementów na minutę, co pozwala na ciągły przepływ w procesie produkcyjnym. DG Flex Feeder obsługuje szeroką gamę produktów przy użyciu tego samego systemu, dzięki czemu ​​może być używany z różnymi aplikacjami robotów.</w:t>
      </w:r>
    </w:p>
    <w:p w14:paraId="3D0128BD" w14:textId="77777777" w:rsidR="00087CB0" w:rsidRDefault="00D40A8D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Indywidualnie zaprojektowane, w</w:t>
      </w:r>
      <w:r>
        <w:rPr>
          <w:rFonts w:ascii="Arial" w:eastAsia="Arial" w:hAnsi="Arial" w:cs="Arial"/>
          <w:sz w:val="20"/>
          <w:szCs w:val="20"/>
        </w:rPr>
        <w:t xml:space="preserve"> pełni zautomatyzowane linie pakujące, zintegrowane z systemami podawczymi i robotami, przyspieszają drogę towaru, od produkcji do magazynu, a niezawodność, wydajność i ciągła praca maszyn stanowi wsparcie w łańcuchu dostaw. </w:t>
      </w:r>
    </w:p>
    <w:p w14:paraId="7084AFC7" w14:textId="77777777" w:rsidR="00087CB0" w:rsidRDefault="00087CB0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2D584C52" w14:textId="77777777" w:rsidR="00087CB0" w:rsidRDefault="00D40A8D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Warto pamiętać też, że firmy </w:t>
      </w:r>
      <w:r>
        <w:rPr>
          <w:rFonts w:ascii="Arial" w:eastAsia="Arial" w:hAnsi="Arial" w:cs="Arial"/>
          <w:sz w:val="20"/>
          <w:szCs w:val="20"/>
        </w:rPr>
        <w:t>mogą korzystać ze wsparcia finansowego przy unowocześnianiu parku maszynowego w ramach dostępnej od 2022 roku ulgi na robotyzację dla firm produkcyjnych oraz przygotowywanemu przez Polską Agencję Rozwoju Przedsiębiorczości tzw. </w:t>
      </w:r>
      <w:hyperlink r:id="rId10">
        <w:r>
          <w:rPr>
            <w:rFonts w:ascii="Arial" w:eastAsia="Arial" w:hAnsi="Arial" w:cs="Arial"/>
            <w:sz w:val="20"/>
            <w:szCs w:val="20"/>
          </w:rPr>
          <w:t>robogrant</w:t>
        </w:r>
      </w:hyperlink>
      <w:r>
        <w:rPr>
          <w:rFonts w:ascii="Arial" w:eastAsia="Arial" w:hAnsi="Arial" w:cs="Arial"/>
          <w:sz w:val="20"/>
          <w:szCs w:val="20"/>
        </w:rPr>
        <w:t xml:space="preserve">owi. </w:t>
      </w:r>
    </w:p>
    <w:p w14:paraId="2F74B657" w14:textId="77777777" w:rsidR="00087CB0" w:rsidRDefault="00087CB0">
      <w:pPr>
        <w:spacing w:after="0" w:line="360" w:lineRule="auto"/>
        <w:ind w:firstLine="0"/>
        <w:jc w:val="both"/>
      </w:pPr>
    </w:p>
    <w:p w14:paraId="2B83E533" w14:textId="77777777" w:rsidR="00087CB0" w:rsidRDefault="00D40A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Aby otrzymać więcej informacji na temat Detab DG Flex Feeder, czy porozmawiać o doborze odpowiedniej</w:t>
      </w:r>
      <w:r>
        <w:rPr>
          <w:rFonts w:ascii="Arial" w:eastAsia="Arial" w:hAnsi="Arial" w:cs="Arial"/>
          <w:sz w:val="20"/>
          <w:szCs w:val="20"/>
        </w:rPr>
        <w:t xml:space="preserve"> maszyny z oferty z Silny&amp;Salamon, warto skontaktować się z przedstawicielami firmy lub zapoznać się z urządzeniami w wirtualnym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showroomie</w:t>
        </w:r>
      </w:hyperlink>
      <w:r>
        <w:rPr>
          <w:rFonts w:ascii="Arial" w:eastAsia="Arial" w:hAnsi="Arial" w:cs="Arial"/>
          <w:sz w:val="20"/>
          <w:szCs w:val="20"/>
        </w:rPr>
        <w:t xml:space="preserve">.  </w:t>
      </w:r>
    </w:p>
    <w:p w14:paraId="7DFC94D7" w14:textId="77777777" w:rsidR="00087CB0" w:rsidRDefault="00087C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DE6E89A" w14:textId="77777777" w:rsidR="00087CB0" w:rsidRDefault="00D40A8D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Więcej informacji o firmie znajduje się na </w:t>
      </w:r>
      <w:hyperlink r:id="rId12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www.plomby.biz</w:t>
        </w:r>
      </w:hyperlink>
      <w:r>
        <w:rPr>
          <w:rFonts w:ascii="Arial" w:eastAsia="Arial" w:hAnsi="Arial" w:cs="Arial"/>
          <w:sz w:val="20"/>
          <w:szCs w:val="20"/>
        </w:rPr>
        <w:t xml:space="preserve"> i </w:t>
      </w:r>
      <w:hyperlink r:id="rId13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www.pakowanie.biz</w:t>
        </w:r>
      </w:hyperlink>
      <w:r>
        <w:rPr>
          <w:rFonts w:ascii="Arial" w:eastAsia="Arial" w:hAnsi="Arial" w:cs="Arial"/>
          <w:sz w:val="20"/>
          <w:szCs w:val="20"/>
        </w:rPr>
        <w:t xml:space="preserve"> oraz na profilach LinkedIn: </w:t>
      </w:r>
      <w:hyperlink r:id="rId14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Silny &amp; Salam</w:t>
        </w:r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on Sp. z o.o.</w:t>
        </w:r>
      </w:hyperlink>
      <w:r>
        <w:rPr>
          <w:rFonts w:ascii="Arial" w:eastAsia="Arial" w:hAnsi="Arial" w:cs="Arial"/>
          <w:sz w:val="20"/>
          <w:szCs w:val="20"/>
        </w:rPr>
        <w:t xml:space="preserve"> (profil główny) i </w:t>
      </w:r>
      <w:hyperlink r:id="rId15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Silny &amp; Salamon - wyłączny dystrybutor APS Autobag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7E763661" w14:textId="77777777" w:rsidR="00087CB0" w:rsidRDefault="00D40A8D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81130A9" w14:textId="77777777" w:rsidR="00087CB0" w:rsidRDefault="00D40A8D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66847BF7" w14:textId="77777777" w:rsidR="00087CB0" w:rsidRDefault="00D40A8D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firmie</w:t>
      </w:r>
    </w:p>
    <w:p w14:paraId="039491E5" w14:textId="77777777" w:rsidR="00087CB0" w:rsidRDefault="00D40A8D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Silny&amp;Salamon dysponuje 30-letnim doświadczeniem w dostarczaniu rozwiązań, zwiększających bezpieczeństwo w transporcie i logistyce, oraz w automatyzacji procesów pakowania w wielu branżach. Rozpoczęła działalność w 1989 roku jako mała rodzinna firma </w:t>
      </w:r>
      <w:r>
        <w:rPr>
          <w:rFonts w:ascii="Arial" w:eastAsia="Arial" w:hAnsi="Arial" w:cs="Arial"/>
          <w:sz w:val="20"/>
          <w:szCs w:val="20"/>
        </w:rPr>
        <w:t>handlowa, której celem było wprowadzenie nowoczesnych sposobów pakowania, zamykania i zabezpieczania produktów. Dziś to sprawdzony partner w biznesie, zapewniający skuteczne rozwiązania w transporcie, logistyce i procesach produkcyjnych. Wielu klientów jes</w:t>
      </w:r>
      <w:r>
        <w:rPr>
          <w:rFonts w:ascii="Arial" w:eastAsia="Arial" w:hAnsi="Arial" w:cs="Arial"/>
          <w:sz w:val="20"/>
          <w:szCs w:val="20"/>
        </w:rPr>
        <w:t xml:space="preserve">t związanych z firmą ciągłą współpracą od wielu lat, należą do nich m.in.: Turck Automation Technology, Fischer Automotive, Zakład Aparatury Elektrycznej - ERGOM czy Neuca. </w:t>
      </w:r>
    </w:p>
    <w:p w14:paraId="75ADA587" w14:textId="77777777" w:rsidR="00087CB0" w:rsidRDefault="00D40A8D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p w14:paraId="21B413BF" w14:textId="77777777" w:rsidR="00087CB0" w:rsidRDefault="00D40A8D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Spółka znalazła się na liście Diamentów 2021 miesięcznika </w:t>
      </w:r>
      <w:hyperlink r:id="rId16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Forbes Polska</w:t>
        </w:r>
      </w:hyperlink>
      <w:r>
        <w:rPr>
          <w:rFonts w:ascii="Arial" w:eastAsia="Arial" w:hAnsi="Arial" w:cs="Arial"/>
          <w:sz w:val="20"/>
          <w:szCs w:val="20"/>
        </w:rPr>
        <w:t>, wśród firm wyróżniających się tempem rozwoju, z pozytywnym ratingiem wiarygo</w:t>
      </w:r>
      <w:r>
        <w:rPr>
          <w:rFonts w:ascii="Arial" w:eastAsia="Arial" w:hAnsi="Arial" w:cs="Arial"/>
          <w:sz w:val="20"/>
          <w:szCs w:val="20"/>
        </w:rPr>
        <w:t xml:space="preserve">dności i ryzyka współpracy, które jednocześnie mają wysoką płynność bieżącą i nie zalegają z płatnościami w ciągu ostatnich trzech lat. </w:t>
      </w:r>
    </w:p>
    <w:p w14:paraId="146648DA" w14:textId="77777777" w:rsidR="00087CB0" w:rsidRDefault="00087CB0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33058B18" w14:textId="77777777" w:rsidR="00087CB0" w:rsidRDefault="00D40A8D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76B5DE86" w14:textId="77777777" w:rsidR="00087CB0" w:rsidRDefault="00087CB0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A26AD78" w14:textId="77777777" w:rsidR="00087CB0" w:rsidRDefault="00D40A8D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78D9B8EB" w14:textId="77777777" w:rsidR="00087CB0" w:rsidRDefault="00D40A8D">
      <w:pPr>
        <w:spacing w:after="0"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Agnieszka Kuźma-Filipek, Lawenda Public Relations, tel. + 48 601 99 10 89, </w:t>
      </w:r>
      <w:hyperlink r:id="rId17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agnieszka@lawendapr.com</w:t>
        </w:r>
      </w:hyperlink>
    </w:p>
    <w:p w14:paraId="539817E4" w14:textId="77777777" w:rsidR="00087CB0" w:rsidRDefault="00D40A8D">
      <w:pPr>
        <w:spacing w:after="0"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Silny&amp;Sa</w:t>
      </w:r>
      <w:r>
        <w:rPr>
          <w:rFonts w:ascii="Arial" w:eastAsia="Arial" w:hAnsi="Arial" w:cs="Arial"/>
          <w:sz w:val="20"/>
          <w:szCs w:val="20"/>
        </w:rPr>
        <w:t xml:space="preserve">lamon Sp. z o.o., ul. Druskiennicka 20 81-533 Gdynia, tel. +48 58 622 54 01 </w:t>
      </w:r>
    </w:p>
    <w:sectPr w:rsidR="00087CB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FD33" w14:textId="77777777" w:rsidR="00D40A8D" w:rsidRDefault="00D40A8D">
      <w:pPr>
        <w:spacing w:after="0" w:line="240" w:lineRule="auto"/>
      </w:pPr>
      <w:r>
        <w:separator/>
      </w:r>
    </w:p>
  </w:endnote>
  <w:endnote w:type="continuationSeparator" w:id="0">
    <w:p w14:paraId="50912C7C" w14:textId="77777777" w:rsidR="00D40A8D" w:rsidRDefault="00D4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431" w14:textId="77777777" w:rsidR="00087CB0" w:rsidRDefault="00087CB0">
    <w:pP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88BC" w14:textId="77777777" w:rsidR="00D40A8D" w:rsidRDefault="00D40A8D">
      <w:pPr>
        <w:spacing w:after="0" w:line="240" w:lineRule="auto"/>
      </w:pPr>
      <w:r>
        <w:separator/>
      </w:r>
    </w:p>
  </w:footnote>
  <w:footnote w:type="continuationSeparator" w:id="0">
    <w:p w14:paraId="06445574" w14:textId="77777777" w:rsidR="00D40A8D" w:rsidRDefault="00D4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2DA0" w14:textId="77777777" w:rsidR="00087CB0" w:rsidRDefault="00087CB0">
    <w:pP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A61F3"/>
    <w:multiLevelType w:val="multilevel"/>
    <w:tmpl w:val="EE306C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380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B0"/>
    <w:rsid w:val="00087CB0"/>
    <w:rsid w:val="005A1A53"/>
    <w:rsid w:val="007A4A8E"/>
    <w:rsid w:val="00D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ABD8"/>
  <w15:docId w15:val="{3989F222-5095-4CDF-AC66-31114FDE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top"/>
      <w:outlineLvl w:val="0"/>
    </w:pPr>
    <w:rPr>
      <w:lang w:eastAsia="zh-CN"/>
    </w:r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spacing w:before="240" w:after="60"/>
      <w:ind w:left="0" w:hanging="1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numPr>
        <w:ilvl w:val="1"/>
        <w:numId w:val="1"/>
      </w:numPr>
      <w:suppressAutoHyphens/>
      <w:spacing w:before="280" w:after="280" w:line="240" w:lineRule="auto"/>
      <w:ind w:left="0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numPr>
        <w:ilvl w:val="2"/>
        <w:numId w:val="1"/>
      </w:numPr>
      <w:suppressAutoHyphens/>
      <w:spacing w:before="280" w:after="280" w:line="240" w:lineRule="auto"/>
      <w:ind w:left="0" w:hang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0z2">
    <w:name w:val="WW8Num1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3">
    <w:name w:val="Domyślna czcionka akapitu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2">
    <w:name w:val="Domyślna czcionka akapitu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B567F4"/>
    <w:rPr>
      <w:color w:val="0000FF" w:themeColor="hyperlink"/>
      <w:u w:val="single"/>
    </w:rPr>
  </w:style>
  <w:style w:type="character" w:customStyle="1" w:styleId="Mocnowyrniony">
    <w:name w:val="Mocno wyróżniony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Odwoaniedokomentarza1">
    <w:name w:val="Odwołanie do komentarza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Wyrnienie">
    <w:name w:val="Wyróżnienie"/>
    <w:qFormat/>
    <w:rPr>
      <w:b/>
      <w:bCs/>
      <w:i w:val="0"/>
      <w:iCs w:val="0"/>
      <w:smallCaps/>
      <w:strike w:val="0"/>
      <w:dstrike w:val="0"/>
      <w:color w:val="5A5A5A"/>
      <w:spacing w:val="20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Odwiedzoneczeinternetowe">
    <w:name w:val="Odwiedzone łącze internetowe"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Znakiprzypiswkocowych">
    <w:name w:val="Znaki przypisów końcowych"/>
    <w:qFormat/>
    <w:rPr>
      <w:w w:val="100"/>
      <w:effect w:val="none"/>
      <w:vertAlign w:val="superscript"/>
      <w:em w:val="none"/>
    </w:rPr>
  </w:style>
  <w:style w:type="character" w:styleId="Nierozpoznanawzmianka">
    <w:name w:val="Unresolved Mention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Odwoanieprzypisukocowego1">
    <w:name w:val="Odwołanie przypisu końcowego1"/>
    <w:qFormat/>
    <w:rPr>
      <w:w w:val="100"/>
      <w:effect w:val="none"/>
      <w:vertAlign w:val="superscript"/>
      <w:em w:val="none"/>
    </w:rPr>
  </w:style>
  <w:style w:type="character" w:customStyle="1" w:styleId="Odwoaniedokomentarza2">
    <w:name w:val="Odwołanie do komentarza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Odwoaniedokomentarza3">
    <w:name w:val="Odwołanie do komentarza3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2">
    <w:name w:val="Tekst komentarza Znak2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3">
    <w:name w:val="Tekst komentarza Znak3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NagwekZnak">
    <w:name w:val="Nagłówek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StopkaZnak">
    <w:name w:val="Stopka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Nagwek2Znak">
    <w:name w:val="Nagłówek 2 Znak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Nagwek3Znak">
    <w:name w:val="Nagłówek 3 Znak"/>
    <w:qFormat/>
    <w:rPr>
      <w:b/>
      <w:bCs/>
      <w:w w:val="100"/>
      <w:position w:val="0"/>
      <w:sz w:val="27"/>
      <w:szCs w:val="27"/>
      <w:effect w:val="none"/>
      <w:vertAlign w:val="baseline"/>
      <w:em w:val="none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w w:val="100"/>
      <w:position w:val="0"/>
      <w:sz w:val="32"/>
      <w:szCs w:val="32"/>
      <w:effect w:val="none"/>
      <w:vertAlign w:val="baseline"/>
      <w:em w:val="none"/>
      <w:lang w:eastAsia="zh-CN"/>
    </w:rPr>
  </w:style>
  <w:style w:type="character" w:customStyle="1" w:styleId="Zakotwiczenieprzypisukocowego">
    <w:name w:val="Zakotwiczenie przypisu końcowego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qFormat/>
    <w:rsid w:val="00503536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162B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D1DF0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pPr>
      <w:widowControl w:val="0"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podstawowy1">
    <w:name w:val="Tekst podstawowy1"/>
    <w:basedOn w:val="Normalny"/>
    <w:qFormat/>
    <w:pPr>
      <w:spacing w:after="140" w:line="276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Poprawka">
    <w:name w:val="Revision"/>
    <w:qFormat/>
    <w:pPr>
      <w:spacing w:line="1" w:lineRule="atLeast"/>
      <w:textAlignment w:val="top"/>
      <w:outlineLvl w:val="0"/>
    </w:pPr>
    <w:rPr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qFormat/>
    <w:rsid w:val="0050353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color w:val="000000"/>
      <w:sz w:val="24"/>
      <w:szCs w:val="24"/>
      <w:lang w:eastAsia="zh-CN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pacing w:line="1" w:lineRule="atLeast"/>
      <w:textAlignment w:val="top"/>
      <w:outlineLvl w:val="0"/>
    </w:pPr>
    <w:rPr>
      <w:lang w:eastAsia="zh-CN"/>
    </w:r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ytaty">
    <w:name w:val="Cytaty"/>
    <w:basedOn w:val="Normalny"/>
    <w:qFormat/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D205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C2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textAlignment w:val="auto"/>
      <w:outlineLvl w:val="9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C28B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7C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akowanie.biz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lomby.biz/" TargetMode="External"/><Relationship Id="rId17" Type="http://schemas.openxmlformats.org/officeDocument/2006/relationships/hyperlink" Target="mailto:agnieszka@lawendap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forbes-pols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kowanie.biz/showro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showcase/silny-&amp;-salamon-wy%C5%82%C4%85czny-dystrybutor-aps-autobag-/?viewAsMember=true" TargetMode="External"/><Relationship Id="rId10" Type="http://schemas.openxmlformats.org/officeDocument/2006/relationships/hyperlink" Target="http://alnea.pl/robogran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kowanie.biz/maszyna_ktora_rozpozna_i_zapamieta_ksztalt/" TargetMode="External"/><Relationship Id="rId14" Type="http://schemas.openxmlformats.org/officeDocument/2006/relationships/hyperlink" Target="https://www.linkedin.com/company/silnysalamon/?viewAsMembe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8O6udKu2NlbSE0Cg0sWXJE9+TA==">AMUW2mVMInXW13VPBdB5t5ypjMm9qCKExVjej4aOgf9LCcpBE6AOMVlLHgAsd9OORIBnurdLAXvfTlt3cUlDYYWSlrSjaNVuik9nV+CixmYY7iyni6s/go4=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715</Words>
  <Characters>4291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3</cp:revision>
  <dcterms:created xsi:type="dcterms:W3CDTF">2022-06-28T07:52:00Z</dcterms:created>
  <dcterms:modified xsi:type="dcterms:W3CDTF">2022-06-28T08:08:00Z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