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E1D9" w14:textId="0074F2B9" w:rsidR="00761AE0" w:rsidRPr="00AC34E8" w:rsidRDefault="000A291B" w:rsidP="002F7CCD">
      <w:pPr>
        <w:jc w:val="both"/>
      </w:pPr>
      <w:r>
        <w:rPr>
          <w:b/>
          <w:bCs/>
        </w:rPr>
        <w:t>60 interwencji dziennie</w:t>
      </w:r>
      <w:r w:rsidR="00567946">
        <w:rPr>
          <w:b/>
          <w:bCs/>
        </w:rPr>
        <w:t xml:space="preserve"> dzięki </w:t>
      </w:r>
      <w:r w:rsidR="007B66AF">
        <w:rPr>
          <w:b/>
          <w:bCs/>
        </w:rPr>
        <w:t>kamerom miejskim</w:t>
      </w:r>
    </w:p>
    <w:p w14:paraId="135967BA" w14:textId="2F684721" w:rsidR="002C033C" w:rsidRDefault="00F82DDC" w:rsidP="002C03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7966">
        <w:rPr>
          <w:b/>
          <w:bCs/>
        </w:rPr>
        <w:t xml:space="preserve">W ubiegłym roku kamery </w:t>
      </w:r>
      <w:r w:rsidR="00CC1344">
        <w:rPr>
          <w:b/>
          <w:bCs/>
        </w:rPr>
        <w:t>zarejestrowały</w:t>
      </w:r>
      <w:r w:rsidRPr="00F07966">
        <w:rPr>
          <w:b/>
          <w:bCs/>
        </w:rPr>
        <w:t xml:space="preserve"> w kilku największych miastach</w:t>
      </w:r>
      <w:r w:rsidR="002178F3">
        <w:rPr>
          <w:b/>
          <w:bCs/>
        </w:rPr>
        <w:t xml:space="preserve"> w Polsce</w:t>
      </w:r>
      <w:r w:rsidRPr="00F07966">
        <w:rPr>
          <w:b/>
          <w:bCs/>
        </w:rPr>
        <w:t xml:space="preserve"> </w:t>
      </w:r>
      <w:r w:rsidR="00A007D3">
        <w:rPr>
          <w:b/>
          <w:bCs/>
        </w:rPr>
        <w:t xml:space="preserve">łącznie 21 948 </w:t>
      </w:r>
      <w:r w:rsidR="001F5FF1">
        <w:rPr>
          <w:b/>
          <w:bCs/>
        </w:rPr>
        <w:t>incydentów</w:t>
      </w:r>
      <w:r w:rsidRPr="00F07966">
        <w:rPr>
          <w:b/>
          <w:bCs/>
        </w:rPr>
        <w:t xml:space="preserve"> wymagających interwencji służb</w:t>
      </w:r>
      <w:r w:rsidR="00B2224C">
        <w:rPr>
          <w:b/>
          <w:bCs/>
        </w:rPr>
        <w:t>, czyli średnio 60 dziennie</w:t>
      </w:r>
      <w:r w:rsidRPr="00F07966">
        <w:rPr>
          <w:b/>
          <w:bCs/>
        </w:rPr>
        <w:t>.</w:t>
      </w:r>
    </w:p>
    <w:p w14:paraId="4801174D" w14:textId="1A3C3538" w:rsidR="002C033C" w:rsidRDefault="007F7B8F" w:rsidP="002C03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Monitoring rozrasta się także </w:t>
      </w:r>
      <w:r w:rsidR="002C033C" w:rsidRPr="002C033C">
        <w:rPr>
          <w:b/>
          <w:bCs/>
        </w:rPr>
        <w:t xml:space="preserve">z inicjatywy </w:t>
      </w:r>
      <w:r w:rsidR="00664810" w:rsidRPr="002C033C">
        <w:rPr>
          <w:b/>
          <w:bCs/>
        </w:rPr>
        <w:t>samych mieszkańców</w:t>
      </w:r>
      <w:r w:rsidR="00821718">
        <w:rPr>
          <w:b/>
          <w:bCs/>
        </w:rPr>
        <w:t xml:space="preserve"> – np. w </w:t>
      </w:r>
      <w:r w:rsidR="00A007D3" w:rsidRPr="002C033C">
        <w:rPr>
          <w:b/>
          <w:bCs/>
        </w:rPr>
        <w:t xml:space="preserve">Łodzi </w:t>
      </w:r>
      <w:r w:rsidR="00303D4F">
        <w:rPr>
          <w:b/>
          <w:bCs/>
        </w:rPr>
        <w:t xml:space="preserve">w ramach Budżetu Obywatelskiego </w:t>
      </w:r>
      <w:r w:rsidR="001F420E">
        <w:rPr>
          <w:b/>
          <w:bCs/>
        </w:rPr>
        <w:t>montowanych jest kilkanaście kamer</w:t>
      </w:r>
      <w:r w:rsidR="00303D4F">
        <w:rPr>
          <w:b/>
          <w:bCs/>
        </w:rPr>
        <w:t xml:space="preserve"> rocznie</w:t>
      </w:r>
      <w:r w:rsidR="00E542F5">
        <w:rPr>
          <w:b/>
          <w:bCs/>
        </w:rPr>
        <w:t>.</w:t>
      </w:r>
    </w:p>
    <w:p w14:paraId="55B9D72B" w14:textId="12D25B5F" w:rsidR="00DB094F" w:rsidRPr="002C033C" w:rsidRDefault="00A7699F" w:rsidP="002C03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Kamery</w:t>
      </w:r>
      <w:r w:rsidR="00151F0C">
        <w:rPr>
          <w:b/>
          <w:bCs/>
        </w:rPr>
        <w:t xml:space="preserve"> wpływa</w:t>
      </w:r>
      <w:r>
        <w:rPr>
          <w:b/>
          <w:bCs/>
        </w:rPr>
        <w:t>ją</w:t>
      </w:r>
      <w:r w:rsidR="00151F0C">
        <w:rPr>
          <w:b/>
          <w:bCs/>
        </w:rPr>
        <w:t xml:space="preserve"> nie tylko na bezpieczeństwo</w:t>
      </w:r>
      <w:r w:rsidR="00E76446">
        <w:rPr>
          <w:b/>
          <w:bCs/>
        </w:rPr>
        <w:t>, ale i czystość</w:t>
      </w:r>
      <w:r w:rsidR="00A706D7">
        <w:rPr>
          <w:b/>
          <w:bCs/>
        </w:rPr>
        <w:t xml:space="preserve"> w mieście</w:t>
      </w:r>
      <w:r w:rsidR="00600447">
        <w:rPr>
          <w:b/>
          <w:bCs/>
        </w:rPr>
        <w:t xml:space="preserve"> – </w:t>
      </w:r>
      <w:r w:rsidR="002414AA">
        <w:rPr>
          <w:b/>
          <w:bCs/>
        </w:rPr>
        <w:t xml:space="preserve">np. </w:t>
      </w:r>
      <w:r w:rsidR="00C62DD7">
        <w:rPr>
          <w:b/>
          <w:bCs/>
        </w:rPr>
        <w:t>w</w:t>
      </w:r>
      <w:r w:rsidR="00E92C7D">
        <w:rPr>
          <w:b/>
          <w:bCs/>
        </w:rPr>
        <w:t xml:space="preserve">e Wrocławiu ponad ¾ </w:t>
      </w:r>
      <w:r w:rsidR="00600447">
        <w:rPr>
          <w:b/>
          <w:bCs/>
        </w:rPr>
        <w:t xml:space="preserve">zarejestrowanych incydentów </w:t>
      </w:r>
      <w:r w:rsidR="002414AA">
        <w:rPr>
          <w:b/>
          <w:bCs/>
        </w:rPr>
        <w:t>dotyczy zanieczys</w:t>
      </w:r>
      <w:r w:rsidR="00600447">
        <w:rPr>
          <w:b/>
          <w:bCs/>
        </w:rPr>
        <w:t>z</w:t>
      </w:r>
      <w:r w:rsidR="002414AA">
        <w:rPr>
          <w:b/>
          <w:bCs/>
        </w:rPr>
        <w:t>cze</w:t>
      </w:r>
      <w:r w:rsidR="00600447">
        <w:rPr>
          <w:b/>
          <w:bCs/>
        </w:rPr>
        <w:t>ń</w:t>
      </w:r>
      <w:r w:rsidR="00E92C7D">
        <w:rPr>
          <w:b/>
          <w:bCs/>
        </w:rPr>
        <w:t>.</w:t>
      </w:r>
    </w:p>
    <w:p w14:paraId="7E85D22E" w14:textId="7A440BEB" w:rsidR="002144C2" w:rsidRDefault="00341DB4" w:rsidP="002C033C">
      <w:pPr>
        <w:jc w:val="both"/>
      </w:pPr>
      <w:r>
        <w:t>W wybranych, największych miastach w Polsce, w ubiegłym roku pracował</w:t>
      </w:r>
      <w:r w:rsidR="003E3BD8">
        <w:t>y</w:t>
      </w:r>
      <w:r>
        <w:t xml:space="preserve"> </w:t>
      </w:r>
      <w:r w:rsidR="001F4076">
        <w:t>3</w:t>
      </w:r>
      <w:r w:rsidR="00F16F13">
        <w:t xml:space="preserve"> </w:t>
      </w:r>
      <w:r w:rsidR="005A195D">
        <w:t>101</w:t>
      </w:r>
      <w:r>
        <w:t xml:space="preserve"> kamer</w:t>
      </w:r>
      <w:r w:rsidR="003E3BD8">
        <w:t>y</w:t>
      </w:r>
      <w:r>
        <w:t xml:space="preserve"> monitoringu miejskiego, z wyłączeniem </w:t>
      </w:r>
      <w:r w:rsidR="002E30D0">
        <w:t xml:space="preserve">urządzeń w </w:t>
      </w:r>
      <w:r>
        <w:t>pojazd</w:t>
      </w:r>
      <w:r w:rsidR="002E30D0">
        <w:t>ach</w:t>
      </w:r>
      <w:r>
        <w:t xml:space="preserve"> komunikacji zbiorowej. </w:t>
      </w:r>
      <w:r w:rsidR="00773B0F">
        <w:t>A to tylko niewielka część miejscowości</w:t>
      </w:r>
      <w:r w:rsidR="002C7BC3">
        <w:t>, w których służby porządkow</w:t>
      </w:r>
      <w:r w:rsidR="001B4D96">
        <w:t xml:space="preserve">e </w:t>
      </w:r>
      <w:r w:rsidR="00C26EF6">
        <w:t>nadzorują w ten sposób miejsca publiczne</w:t>
      </w:r>
      <w:r w:rsidR="00761603">
        <w:t xml:space="preserve">. </w:t>
      </w:r>
      <w:r w:rsidR="00D500BA">
        <w:t>Korzystają z</w:t>
      </w:r>
      <w:r w:rsidR="009B2014">
        <w:t> </w:t>
      </w:r>
      <w:r w:rsidR="00D500BA">
        <w:t xml:space="preserve">nich zarówno metropolie, miasta wojewódzkie, jak i mniejsze miejscowości. </w:t>
      </w:r>
      <w:r w:rsidR="00F50BE5">
        <w:t>Dlaczego? Ponieważ są</w:t>
      </w:r>
      <w:r w:rsidR="003F1650">
        <w:t> </w:t>
      </w:r>
      <w:r w:rsidR="00F50BE5">
        <w:t xml:space="preserve">skuteczne, co </w:t>
      </w:r>
      <w:r w:rsidR="00F01E80">
        <w:t xml:space="preserve">potwierdzają </w:t>
      </w:r>
      <w:r w:rsidR="00F50BE5">
        <w:t>statystyki</w:t>
      </w:r>
      <w:r w:rsidR="003D2E64">
        <w:t xml:space="preserve"> chociażby straży miejskich</w:t>
      </w:r>
      <w:r w:rsidR="00F50BE5">
        <w:t xml:space="preserve">. </w:t>
      </w:r>
    </w:p>
    <w:tbl>
      <w:tblPr>
        <w:tblStyle w:val="Tabela-Siatka"/>
        <w:tblW w:w="9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F87DB7" w14:paraId="04F1EEBA" w14:textId="0546AF43" w:rsidTr="00386257">
        <w:trPr>
          <w:trHeight w:val="358"/>
        </w:trPr>
        <w:tc>
          <w:tcPr>
            <w:tcW w:w="9024" w:type="dxa"/>
            <w:gridSpan w:val="4"/>
            <w:vAlign w:val="center"/>
          </w:tcPr>
          <w:p w14:paraId="03BE4E7F" w14:textId="2FAF773D" w:rsidR="00F87DB7" w:rsidRPr="00A856CA" w:rsidRDefault="00F87DB7" w:rsidP="00386257">
            <w:pPr>
              <w:spacing w:before="60" w:after="60"/>
              <w:jc w:val="center"/>
              <w:rPr>
                <w:b/>
                <w:bCs/>
                <w:sz w:val="18"/>
              </w:rPr>
            </w:pPr>
            <w:r w:rsidRPr="00A856CA">
              <w:rPr>
                <w:b/>
                <w:bCs/>
                <w:sz w:val="18"/>
              </w:rPr>
              <w:t xml:space="preserve">Liczba kamer działających w </w:t>
            </w:r>
            <w:r>
              <w:rPr>
                <w:b/>
                <w:bCs/>
                <w:sz w:val="18"/>
              </w:rPr>
              <w:t xml:space="preserve">wybranych </w:t>
            </w:r>
            <w:r w:rsidRPr="00A856CA">
              <w:rPr>
                <w:b/>
                <w:bCs/>
                <w:sz w:val="18"/>
              </w:rPr>
              <w:t>największych miastach w Polsce</w:t>
            </w:r>
            <w:r>
              <w:rPr>
                <w:b/>
                <w:bCs/>
                <w:sz w:val="18"/>
              </w:rPr>
              <w:t xml:space="preserve"> i rejestrowanych incydentów </w:t>
            </w:r>
            <w:r w:rsidRPr="00A856CA">
              <w:rPr>
                <w:b/>
                <w:bCs/>
                <w:sz w:val="18"/>
              </w:rPr>
              <w:t xml:space="preserve">(bez monitoringu </w:t>
            </w:r>
            <w:r>
              <w:rPr>
                <w:b/>
                <w:bCs/>
                <w:sz w:val="18"/>
              </w:rPr>
              <w:t>transportu</w:t>
            </w:r>
            <w:r w:rsidRPr="00A856CA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zbiorowego i przystanków</w:t>
            </w:r>
            <w:r w:rsidRPr="00A856CA">
              <w:rPr>
                <w:b/>
                <w:bCs/>
                <w:sz w:val="18"/>
              </w:rPr>
              <w:t>)</w:t>
            </w:r>
          </w:p>
        </w:tc>
      </w:tr>
      <w:tr w:rsidR="00F87DB7" w14:paraId="712B77E0" w14:textId="36D6179C" w:rsidTr="00386257">
        <w:trPr>
          <w:trHeight w:val="358"/>
        </w:trPr>
        <w:tc>
          <w:tcPr>
            <w:tcW w:w="2256" w:type="dxa"/>
            <w:vAlign w:val="center"/>
          </w:tcPr>
          <w:p w14:paraId="50601A6E" w14:textId="77777777" w:rsidR="00F87DB7" w:rsidRPr="00D42EFD" w:rsidRDefault="00F87DB7" w:rsidP="002F7CCD">
            <w:pPr>
              <w:spacing w:before="60" w:after="60"/>
              <w:jc w:val="both"/>
              <w:rPr>
                <w:sz w:val="18"/>
                <w:szCs w:val="18"/>
                <w:u w:val="single"/>
              </w:rPr>
            </w:pPr>
            <w:r w:rsidRPr="00D42EFD">
              <w:rPr>
                <w:sz w:val="18"/>
                <w:szCs w:val="18"/>
                <w:u w:val="single"/>
              </w:rPr>
              <w:t>Miasto</w:t>
            </w:r>
          </w:p>
        </w:tc>
        <w:tc>
          <w:tcPr>
            <w:tcW w:w="2256" w:type="dxa"/>
            <w:vAlign w:val="center"/>
          </w:tcPr>
          <w:p w14:paraId="11E2C508" w14:textId="77777777" w:rsidR="00F87DB7" w:rsidRPr="00D42EFD" w:rsidRDefault="00F87DB7" w:rsidP="002F7CCD">
            <w:pPr>
              <w:spacing w:before="60" w:after="60"/>
              <w:jc w:val="both"/>
              <w:rPr>
                <w:sz w:val="18"/>
                <w:szCs w:val="18"/>
                <w:u w:val="single"/>
              </w:rPr>
            </w:pPr>
            <w:r w:rsidRPr="00D42EFD">
              <w:rPr>
                <w:sz w:val="18"/>
                <w:szCs w:val="18"/>
                <w:u w:val="single"/>
              </w:rPr>
              <w:t>Liczba kamer</w:t>
            </w:r>
          </w:p>
        </w:tc>
        <w:tc>
          <w:tcPr>
            <w:tcW w:w="2256" w:type="dxa"/>
            <w:vAlign w:val="center"/>
          </w:tcPr>
          <w:p w14:paraId="43AD79EE" w14:textId="1BD45F22" w:rsidR="00F87DB7" w:rsidRPr="00D42EFD" w:rsidRDefault="00F87DB7" w:rsidP="002F7CCD">
            <w:pPr>
              <w:spacing w:before="60" w:after="60"/>
              <w:jc w:val="both"/>
              <w:rPr>
                <w:sz w:val="18"/>
                <w:szCs w:val="18"/>
                <w:u w:val="single"/>
              </w:rPr>
            </w:pPr>
            <w:r w:rsidRPr="00D42EFD">
              <w:rPr>
                <w:sz w:val="18"/>
                <w:szCs w:val="18"/>
                <w:u w:val="single"/>
              </w:rPr>
              <w:t>Incydenty zarejestrowane w 202</w:t>
            </w:r>
            <w:r>
              <w:rPr>
                <w:sz w:val="18"/>
                <w:szCs w:val="18"/>
                <w:u w:val="single"/>
              </w:rPr>
              <w:t>1</w:t>
            </w:r>
            <w:r w:rsidRPr="00D42EFD">
              <w:rPr>
                <w:sz w:val="18"/>
                <w:szCs w:val="18"/>
                <w:u w:val="single"/>
              </w:rPr>
              <w:t xml:space="preserve"> r.</w:t>
            </w:r>
          </w:p>
        </w:tc>
        <w:tc>
          <w:tcPr>
            <w:tcW w:w="2256" w:type="dxa"/>
          </w:tcPr>
          <w:p w14:paraId="4E547B5C" w14:textId="19175EE1" w:rsidR="00F87DB7" w:rsidRPr="00D42EFD" w:rsidRDefault="00F87DB7" w:rsidP="002F7CCD">
            <w:pPr>
              <w:spacing w:before="60" w:after="6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Średni</w:t>
            </w:r>
            <w:r w:rsidR="000065B8">
              <w:rPr>
                <w:sz w:val="18"/>
                <w:szCs w:val="18"/>
                <w:u w:val="single"/>
              </w:rPr>
              <w:t>o</w:t>
            </w:r>
            <w:r>
              <w:rPr>
                <w:sz w:val="18"/>
                <w:szCs w:val="18"/>
                <w:u w:val="single"/>
              </w:rPr>
              <w:t xml:space="preserve"> dzienn</w:t>
            </w:r>
            <w:r w:rsidR="000065B8">
              <w:rPr>
                <w:sz w:val="18"/>
                <w:szCs w:val="18"/>
                <w:u w:val="single"/>
              </w:rPr>
              <w:t>ie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F87DB7" w14:paraId="7B16BF70" w14:textId="1A0D6166" w:rsidTr="00386257">
        <w:trPr>
          <w:trHeight w:val="218"/>
        </w:trPr>
        <w:tc>
          <w:tcPr>
            <w:tcW w:w="2256" w:type="dxa"/>
          </w:tcPr>
          <w:p w14:paraId="2BA2B31A" w14:textId="77777777" w:rsidR="00F87DB7" w:rsidRPr="004C059E" w:rsidRDefault="00F87DB7" w:rsidP="002F7CCD">
            <w:pPr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C059E">
              <w:rPr>
                <w:color w:val="000000" w:themeColor="text1"/>
                <w:sz w:val="18"/>
                <w:szCs w:val="18"/>
              </w:rPr>
              <w:t>Warszawa</w:t>
            </w:r>
          </w:p>
        </w:tc>
        <w:tc>
          <w:tcPr>
            <w:tcW w:w="2256" w:type="dxa"/>
          </w:tcPr>
          <w:p w14:paraId="1BBDC77C" w14:textId="71252F57" w:rsidR="00F87DB7" w:rsidRPr="008F26CA" w:rsidRDefault="00F87DB7" w:rsidP="002F7CC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F26C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8F26CA">
              <w:rPr>
                <w:sz w:val="18"/>
                <w:szCs w:val="18"/>
              </w:rPr>
              <w:t>2</w:t>
            </w:r>
          </w:p>
        </w:tc>
        <w:tc>
          <w:tcPr>
            <w:tcW w:w="2256" w:type="dxa"/>
          </w:tcPr>
          <w:p w14:paraId="5A9AAE1F" w14:textId="08A3006F" w:rsidR="00F87DB7" w:rsidRPr="008F26CA" w:rsidRDefault="00F87DB7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0D0B54">
              <w:rPr>
                <w:sz w:val="18"/>
                <w:szCs w:val="18"/>
              </w:rPr>
              <w:t>8 948</w:t>
            </w:r>
          </w:p>
        </w:tc>
        <w:tc>
          <w:tcPr>
            <w:tcW w:w="2256" w:type="dxa"/>
          </w:tcPr>
          <w:p w14:paraId="0E5E4BE4" w14:textId="6F51A6B2" w:rsidR="00F87DB7" w:rsidRPr="000D0B54" w:rsidRDefault="00556814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F87DB7" w14:paraId="73AFB7D8" w14:textId="52922864" w:rsidTr="00386257">
        <w:trPr>
          <w:trHeight w:val="218"/>
        </w:trPr>
        <w:tc>
          <w:tcPr>
            <w:tcW w:w="2256" w:type="dxa"/>
          </w:tcPr>
          <w:p w14:paraId="32BB2645" w14:textId="4BC699C8" w:rsidR="00F87DB7" w:rsidRPr="004C059E" w:rsidRDefault="00F87DB7" w:rsidP="002F7CCD">
            <w:pPr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Gdańsk</w:t>
            </w:r>
          </w:p>
        </w:tc>
        <w:tc>
          <w:tcPr>
            <w:tcW w:w="2256" w:type="dxa"/>
          </w:tcPr>
          <w:p w14:paraId="50B80533" w14:textId="637CDB04" w:rsidR="00F87DB7" w:rsidRPr="008F26CA" w:rsidRDefault="00F87DB7" w:rsidP="002F7CCD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2256" w:type="dxa"/>
          </w:tcPr>
          <w:p w14:paraId="3EAC5117" w14:textId="7350CD3D" w:rsidR="00F87DB7" w:rsidRPr="008F26CA" w:rsidRDefault="00F87DB7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6F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066</w:t>
            </w:r>
          </w:p>
        </w:tc>
        <w:tc>
          <w:tcPr>
            <w:tcW w:w="2256" w:type="dxa"/>
          </w:tcPr>
          <w:p w14:paraId="4C2477DE" w14:textId="26A984FA" w:rsidR="00F87DB7" w:rsidRDefault="00556814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F87DB7" w14:paraId="3E3E79E0" w14:textId="2E175CF0" w:rsidTr="00386257">
        <w:trPr>
          <w:trHeight w:val="218"/>
        </w:trPr>
        <w:tc>
          <w:tcPr>
            <w:tcW w:w="2256" w:type="dxa"/>
          </w:tcPr>
          <w:p w14:paraId="372CC72A" w14:textId="77777777" w:rsidR="00F87DB7" w:rsidRPr="004C059E" w:rsidRDefault="00F87DB7" w:rsidP="002F7CCD">
            <w:pPr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C059E">
              <w:rPr>
                <w:color w:val="000000" w:themeColor="text1"/>
                <w:sz w:val="18"/>
                <w:szCs w:val="18"/>
              </w:rPr>
              <w:t>Łódź</w:t>
            </w:r>
          </w:p>
        </w:tc>
        <w:tc>
          <w:tcPr>
            <w:tcW w:w="2256" w:type="dxa"/>
          </w:tcPr>
          <w:p w14:paraId="4BE16D19" w14:textId="2AEB8E18" w:rsidR="00A914F3" w:rsidRPr="008F26CA" w:rsidRDefault="00D30777" w:rsidP="002F7CCD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2256" w:type="dxa"/>
          </w:tcPr>
          <w:p w14:paraId="222345EE" w14:textId="405174DC" w:rsidR="00F87DB7" w:rsidRPr="008F26CA" w:rsidRDefault="00F87DB7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3 727</w:t>
            </w:r>
          </w:p>
        </w:tc>
        <w:tc>
          <w:tcPr>
            <w:tcW w:w="2256" w:type="dxa"/>
          </w:tcPr>
          <w:p w14:paraId="51551C22" w14:textId="30B0DABF" w:rsidR="00F87DB7" w:rsidRDefault="00556814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F87DB7" w14:paraId="2DAD2461" w14:textId="49251FFD" w:rsidTr="00386257">
        <w:trPr>
          <w:trHeight w:val="218"/>
        </w:trPr>
        <w:tc>
          <w:tcPr>
            <w:tcW w:w="2256" w:type="dxa"/>
          </w:tcPr>
          <w:p w14:paraId="7DD66BF9" w14:textId="77777777" w:rsidR="00F87DB7" w:rsidRPr="004C059E" w:rsidRDefault="00F87DB7" w:rsidP="002F7CCD">
            <w:pPr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C059E">
              <w:rPr>
                <w:color w:val="000000" w:themeColor="text1"/>
                <w:sz w:val="18"/>
                <w:szCs w:val="18"/>
              </w:rPr>
              <w:t>Wrocław</w:t>
            </w:r>
          </w:p>
        </w:tc>
        <w:tc>
          <w:tcPr>
            <w:tcW w:w="2256" w:type="dxa"/>
          </w:tcPr>
          <w:p w14:paraId="25F93B5A" w14:textId="386D7446" w:rsidR="00F87DB7" w:rsidRPr="008F26CA" w:rsidRDefault="00F87DB7" w:rsidP="002F7CC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F26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2256" w:type="dxa"/>
          </w:tcPr>
          <w:p w14:paraId="6566A3F7" w14:textId="7D76F101" w:rsidR="00F87DB7" w:rsidRPr="008F26CA" w:rsidRDefault="00F87DB7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1 358</w:t>
            </w:r>
          </w:p>
        </w:tc>
        <w:tc>
          <w:tcPr>
            <w:tcW w:w="2256" w:type="dxa"/>
          </w:tcPr>
          <w:p w14:paraId="30490C5F" w14:textId="7AE24ECE" w:rsidR="00F87DB7" w:rsidRDefault="00556814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F87DB7" w14:paraId="0FBA5AC1" w14:textId="7D6C5BB8" w:rsidTr="00386257">
        <w:trPr>
          <w:trHeight w:val="218"/>
        </w:trPr>
        <w:tc>
          <w:tcPr>
            <w:tcW w:w="2256" w:type="dxa"/>
          </w:tcPr>
          <w:p w14:paraId="66597B6C" w14:textId="77777777" w:rsidR="00F87DB7" w:rsidRPr="004C059E" w:rsidRDefault="00F87DB7" w:rsidP="002F7CCD">
            <w:pPr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C059E">
              <w:rPr>
                <w:color w:val="000000" w:themeColor="text1"/>
                <w:sz w:val="18"/>
                <w:szCs w:val="18"/>
              </w:rPr>
              <w:t>Poznań</w:t>
            </w:r>
          </w:p>
        </w:tc>
        <w:tc>
          <w:tcPr>
            <w:tcW w:w="2256" w:type="dxa"/>
          </w:tcPr>
          <w:p w14:paraId="11E0C471" w14:textId="023A7C87" w:rsidR="00F87DB7" w:rsidRPr="008F26CA" w:rsidRDefault="00F87DB7" w:rsidP="002F7CCD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6F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026</w:t>
            </w:r>
          </w:p>
        </w:tc>
        <w:tc>
          <w:tcPr>
            <w:tcW w:w="2256" w:type="dxa"/>
          </w:tcPr>
          <w:p w14:paraId="76DCCD3B" w14:textId="4E42C29A" w:rsidR="00F87DB7" w:rsidRPr="008F26CA" w:rsidRDefault="00F87DB7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5 849</w:t>
            </w:r>
          </w:p>
        </w:tc>
        <w:tc>
          <w:tcPr>
            <w:tcW w:w="2256" w:type="dxa"/>
          </w:tcPr>
          <w:p w14:paraId="41079F6C" w14:textId="705BE49D" w:rsidR="00F87DB7" w:rsidRDefault="00556814" w:rsidP="001B2EB4">
            <w:pPr>
              <w:tabs>
                <w:tab w:val="left" w:pos="492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50CC7" w14:paraId="03BA678C" w14:textId="77777777" w:rsidTr="00386257">
        <w:trPr>
          <w:trHeight w:val="218"/>
        </w:trPr>
        <w:tc>
          <w:tcPr>
            <w:tcW w:w="2256" w:type="dxa"/>
          </w:tcPr>
          <w:p w14:paraId="650CC3AB" w14:textId="778DB28A" w:rsidR="00D50CC7" w:rsidRPr="004C059E" w:rsidRDefault="00D50CC7" w:rsidP="002F7CCD">
            <w:pPr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56" w:type="dxa"/>
          </w:tcPr>
          <w:p w14:paraId="35BB711B" w14:textId="225A2581" w:rsidR="00D50CC7" w:rsidRDefault="00556814" w:rsidP="002F7CCD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6F13">
              <w:rPr>
                <w:sz w:val="18"/>
                <w:szCs w:val="18"/>
              </w:rPr>
              <w:t xml:space="preserve"> </w:t>
            </w:r>
            <w:r w:rsidR="005A195D">
              <w:rPr>
                <w:sz w:val="18"/>
                <w:szCs w:val="18"/>
              </w:rPr>
              <w:t>101</w:t>
            </w:r>
          </w:p>
        </w:tc>
        <w:tc>
          <w:tcPr>
            <w:tcW w:w="2256" w:type="dxa"/>
          </w:tcPr>
          <w:p w14:paraId="72EEE78E" w14:textId="66EA51C5" w:rsidR="00D50CC7" w:rsidRDefault="00556814" w:rsidP="002F7CCD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21 948</w:t>
            </w:r>
          </w:p>
        </w:tc>
        <w:tc>
          <w:tcPr>
            <w:tcW w:w="2256" w:type="dxa"/>
          </w:tcPr>
          <w:p w14:paraId="52362F1E" w14:textId="7F90B14F" w:rsidR="00D50CC7" w:rsidRDefault="00556814" w:rsidP="00556814">
            <w:pPr>
              <w:tabs>
                <w:tab w:val="left" w:pos="492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6454B" w14:paraId="3C6ACAD6" w14:textId="5C7BDC8E" w:rsidTr="00386257">
        <w:trPr>
          <w:trHeight w:val="179"/>
        </w:trPr>
        <w:tc>
          <w:tcPr>
            <w:tcW w:w="9024" w:type="dxa"/>
            <w:gridSpan w:val="4"/>
          </w:tcPr>
          <w:p w14:paraId="16C92A20" w14:textId="28EC0A9A" w:rsidR="0036454B" w:rsidRDefault="0036454B" w:rsidP="002F7CCD">
            <w:pPr>
              <w:spacing w:before="60"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dane z Biuletynów Informacji Publicznej poszczególnych samorządów dot. działalności straży miejskiej</w:t>
            </w:r>
          </w:p>
        </w:tc>
      </w:tr>
    </w:tbl>
    <w:p w14:paraId="1D23676C" w14:textId="77777777" w:rsidR="00247DF7" w:rsidRPr="00180CA2" w:rsidRDefault="00247DF7" w:rsidP="00155151"/>
    <w:p w14:paraId="744C7FA5" w14:textId="5847DC6C" w:rsidR="003D3EDA" w:rsidRDefault="00C94AB8" w:rsidP="00417DC6">
      <w:pPr>
        <w:jc w:val="both"/>
      </w:pPr>
      <w:r>
        <w:rPr>
          <w:i/>
          <w:iCs/>
        </w:rPr>
        <w:t>–</w:t>
      </w:r>
      <w:r w:rsidR="004C059E">
        <w:rPr>
          <w:i/>
          <w:iCs/>
        </w:rPr>
        <w:t xml:space="preserve"> Kamery miejskie ułatwiają pracę</w:t>
      </w:r>
      <w:r w:rsidR="009277CF">
        <w:rPr>
          <w:i/>
          <w:iCs/>
        </w:rPr>
        <w:t xml:space="preserve"> wszystkim</w:t>
      </w:r>
      <w:r w:rsidR="004C059E">
        <w:rPr>
          <w:i/>
          <w:iCs/>
        </w:rPr>
        <w:t xml:space="preserve"> służbom</w:t>
      </w:r>
      <w:r w:rsidR="00EF1395">
        <w:rPr>
          <w:i/>
          <w:iCs/>
        </w:rPr>
        <w:t>, nie tylko straży miejskiej</w:t>
      </w:r>
      <w:r w:rsidR="00867220">
        <w:rPr>
          <w:i/>
          <w:iCs/>
        </w:rPr>
        <w:t>. Przykładowo, w</w:t>
      </w:r>
      <w:r w:rsidR="009D3D0B">
        <w:rPr>
          <w:i/>
          <w:iCs/>
        </w:rPr>
        <w:t> </w:t>
      </w:r>
      <w:r w:rsidR="00867220">
        <w:rPr>
          <w:i/>
          <w:iCs/>
        </w:rPr>
        <w:t xml:space="preserve">Warszawie </w:t>
      </w:r>
      <w:r w:rsidR="001F1568">
        <w:rPr>
          <w:i/>
          <w:iCs/>
        </w:rPr>
        <w:t>niemal połow</w:t>
      </w:r>
      <w:r w:rsidR="006C4586">
        <w:rPr>
          <w:i/>
          <w:iCs/>
        </w:rPr>
        <w:t>ę</w:t>
      </w:r>
      <w:r w:rsidR="001F1568">
        <w:rPr>
          <w:i/>
          <w:iCs/>
        </w:rPr>
        <w:t xml:space="preserve"> rejestrowanych zdarzeń </w:t>
      </w:r>
      <w:r w:rsidR="00A130B1">
        <w:rPr>
          <w:i/>
          <w:iCs/>
        </w:rPr>
        <w:t>przekaz</w:t>
      </w:r>
      <w:r w:rsidR="006C4586">
        <w:rPr>
          <w:i/>
          <w:iCs/>
        </w:rPr>
        <w:t>uje</w:t>
      </w:r>
      <w:r w:rsidR="00A130B1">
        <w:rPr>
          <w:i/>
          <w:iCs/>
        </w:rPr>
        <w:t xml:space="preserve"> </w:t>
      </w:r>
      <w:r w:rsidR="006C4586">
        <w:rPr>
          <w:i/>
          <w:iCs/>
        </w:rPr>
        <w:t>się</w:t>
      </w:r>
      <w:r w:rsidR="00A130B1">
        <w:rPr>
          <w:i/>
          <w:iCs/>
        </w:rPr>
        <w:t xml:space="preserve"> policji. </w:t>
      </w:r>
      <w:r w:rsidR="00F30DBA">
        <w:rPr>
          <w:i/>
          <w:iCs/>
        </w:rPr>
        <w:t>Podobnie jest w przypadku Poznania, gdzie mówi się wprost o 197 zdarzeniach, które zostały zakwalifikowane jako przestępstw</w:t>
      </w:r>
      <w:r w:rsidR="006677F6">
        <w:rPr>
          <w:i/>
          <w:iCs/>
        </w:rPr>
        <w:t xml:space="preserve">a. </w:t>
      </w:r>
      <w:r w:rsidR="00926FD0">
        <w:rPr>
          <w:i/>
          <w:iCs/>
        </w:rPr>
        <w:t>Dlatego n</w:t>
      </w:r>
      <w:r w:rsidR="00406492">
        <w:rPr>
          <w:i/>
          <w:iCs/>
        </w:rPr>
        <w:t>ie tylko</w:t>
      </w:r>
      <w:r w:rsidR="00403E96">
        <w:rPr>
          <w:i/>
          <w:iCs/>
        </w:rPr>
        <w:t xml:space="preserve"> </w:t>
      </w:r>
      <w:r w:rsidR="009C2CBE">
        <w:rPr>
          <w:i/>
          <w:iCs/>
        </w:rPr>
        <w:t xml:space="preserve">władze polskich miast, ale również ich mieszkańcy zdają sobie sprawę z wpływu kamer na </w:t>
      </w:r>
      <w:r w:rsidR="00A928BF">
        <w:rPr>
          <w:i/>
          <w:iCs/>
        </w:rPr>
        <w:t xml:space="preserve">spokój i bezpieczeństwo </w:t>
      </w:r>
      <w:r w:rsidR="00F813D1">
        <w:rPr>
          <w:i/>
          <w:iCs/>
        </w:rPr>
        <w:t xml:space="preserve">w przestrzeni publicznej. </w:t>
      </w:r>
      <w:r w:rsidR="00D46190" w:rsidRPr="002E3216">
        <w:rPr>
          <w:i/>
          <w:iCs/>
        </w:rPr>
        <w:t xml:space="preserve">Dobry przykład </w:t>
      </w:r>
      <w:r w:rsidR="00C3430B">
        <w:rPr>
          <w:i/>
          <w:iCs/>
        </w:rPr>
        <w:t>to</w:t>
      </w:r>
      <w:r w:rsidR="00D46190" w:rsidRPr="002E3216">
        <w:rPr>
          <w:i/>
          <w:iCs/>
        </w:rPr>
        <w:t xml:space="preserve"> Łódź, gdzie kolejny rok z rzędu </w:t>
      </w:r>
      <w:r w:rsidR="00D46190">
        <w:rPr>
          <w:i/>
          <w:iCs/>
        </w:rPr>
        <w:t>powstaną</w:t>
      </w:r>
      <w:r w:rsidR="00D46190" w:rsidRPr="002E3216">
        <w:rPr>
          <w:i/>
          <w:iCs/>
        </w:rPr>
        <w:t xml:space="preserve"> nowe punkty kamerowe realizowane w ramach B</w:t>
      </w:r>
      <w:r w:rsidR="009653DA">
        <w:rPr>
          <w:i/>
          <w:iCs/>
        </w:rPr>
        <w:t xml:space="preserve">udżetu </w:t>
      </w:r>
      <w:r w:rsidR="00D46190" w:rsidRPr="002E3216">
        <w:rPr>
          <w:i/>
          <w:iCs/>
        </w:rPr>
        <w:t>O</w:t>
      </w:r>
      <w:r w:rsidR="009653DA">
        <w:rPr>
          <w:i/>
          <w:iCs/>
        </w:rPr>
        <w:t>bywatelskiego</w:t>
      </w:r>
      <w:r w:rsidR="00D46190">
        <w:rPr>
          <w:i/>
          <w:iCs/>
        </w:rPr>
        <w:t xml:space="preserve"> </w:t>
      </w:r>
      <w:r w:rsidR="006E4EC3">
        <w:t xml:space="preserve"> </w:t>
      </w:r>
      <w:r>
        <w:rPr>
          <w:i/>
          <w:iCs/>
        </w:rPr>
        <w:t>–</w:t>
      </w:r>
      <w:r w:rsidR="006E4EC3">
        <w:t xml:space="preserve"> mówi </w:t>
      </w:r>
      <w:r w:rsidR="00B45453" w:rsidRPr="00AB2254">
        <w:t>Maciej Mroszczak, odpowiedzialny za wdrażanie tego typu systemów w Sprint S.A.</w:t>
      </w:r>
    </w:p>
    <w:p w14:paraId="50FADCC2" w14:textId="4290ACFE" w:rsidR="00B52CF3" w:rsidRDefault="006871DD" w:rsidP="00417DC6">
      <w:pPr>
        <w:jc w:val="both"/>
      </w:pPr>
      <w:r>
        <w:t xml:space="preserve">W grudniu </w:t>
      </w:r>
      <w:r w:rsidR="008C7463">
        <w:t xml:space="preserve">2021 roku </w:t>
      </w:r>
      <w:r w:rsidR="004D4821">
        <w:t xml:space="preserve">zakończono montaż ostatnich punktów </w:t>
      </w:r>
      <w:r w:rsidR="0068314A">
        <w:t xml:space="preserve">kamerowych, na które </w:t>
      </w:r>
      <w:r w:rsidR="0072031D">
        <w:t>łodzianie zagłosowali w ramach Budżetu Obywatelskiego</w:t>
      </w:r>
      <w:r w:rsidR="0068314A">
        <w:t>.</w:t>
      </w:r>
      <w:r w:rsidR="0072031D">
        <w:t xml:space="preserve"> </w:t>
      </w:r>
      <w:r w:rsidR="00380E50">
        <w:t xml:space="preserve">Urządzenia stanęły na osiedlu Józefa Montwiłła-Mireckiego, </w:t>
      </w:r>
      <w:r w:rsidR="003C79C0">
        <w:t xml:space="preserve">Bałuty-Doły oraz na Kozinach. </w:t>
      </w:r>
      <w:r w:rsidR="00EA51DD">
        <w:t xml:space="preserve">Łącznie w 10 punktach miasta </w:t>
      </w:r>
      <w:r w:rsidR="009B5C96">
        <w:t xml:space="preserve">zainstalowano 14 kamer. </w:t>
      </w:r>
      <w:r w:rsidR="005060F4">
        <w:t xml:space="preserve">Obecnie łódzki System Monitoringu Miejskiego składa się z </w:t>
      </w:r>
      <w:r w:rsidR="00D30777">
        <w:t xml:space="preserve">770 </w:t>
      </w:r>
      <w:r w:rsidR="005060F4">
        <w:t xml:space="preserve">kamer umieszczonych w </w:t>
      </w:r>
      <w:r w:rsidR="00D30777">
        <w:t xml:space="preserve">281 </w:t>
      </w:r>
      <w:r w:rsidR="005060F4">
        <w:t xml:space="preserve">punktach na terenie miasta. </w:t>
      </w:r>
      <w:r w:rsidR="00750553">
        <w:t xml:space="preserve">Z urządzeń korzysta cały szereg instytucji: Straż Miejska w Łodzi, </w:t>
      </w:r>
      <w:r w:rsidR="00750553" w:rsidRPr="00750553">
        <w:t>Wydział Zarządzania Kryzysowego i Bezpieczeństwa Urzędu Miasta Łodzi</w:t>
      </w:r>
      <w:r w:rsidR="00750553">
        <w:t xml:space="preserve">, </w:t>
      </w:r>
      <w:r w:rsidR="00750553" w:rsidRPr="00750553">
        <w:t>Zarząd Dróg i Transportu w Łodzi</w:t>
      </w:r>
      <w:r w:rsidR="00750553">
        <w:t xml:space="preserve"> oraz</w:t>
      </w:r>
      <w:r w:rsidR="00750553" w:rsidRPr="00750553">
        <w:t xml:space="preserve"> Komenda Wojewódzka i Miejska Policji</w:t>
      </w:r>
      <w:r w:rsidR="00750553">
        <w:t>.</w:t>
      </w:r>
    </w:p>
    <w:p w14:paraId="34642495" w14:textId="22AC1844" w:rsidR="00F458A8" w:rsidRDefault="007D6D6A" w:rsidP="005060F4">
      <w:pPr>
        <w:jc w:val="both"/>
      </w:pPr>
      <w:r>
        <w:rPr>
          <w:i/>
          <w:iCs/>
        </w:rPr>
        <w:t xml:space="preserve"> </w:t>
      </w:r>
      <w:r w:rsidR="00D15D60">
        <w:rPr>
          <w:i/>
          <w:iCs/>
        </w:rPr>
        <w:t>–</w:t>
      </w:r>
      <w:r>
        <w:rPr>
          <w:i/>
          <w:iCs/>
        </w:rPr>
        <w:t xml:space="preserve"> </w:t>
      </w:r>
      <w:r w:rsidR="00622583" w:rsidRPr="00622583">
        <w:rPr>
          <w:i/>
          <w:iCs/>
        </w:rPr>
        <w:t xml:space="preserve">Każdy operator ma zestaw kamer do obsłużenia. Przełącza się między punktami kamerowymi, obserwując przez jakiś czas dany obszar. </w:t>
      </w:r>
      <w:r w:rsidR="00727F55">
        <w:rPr>
          <w:i/>
          <w:iCs/>
        </w:rPr>
        <w:t>Doświadczenie</w:t>
      </w:r>
      <w:r w:rsidR="00622583" w:rsidRPr="00622583">
        <w:rPr>
          <w:i/>
          <w:iCs/>
        </w:rPr>
        <w:t xml:space="preserve"> operatorów jest </w:t>
      </w:r>
      <w:r w:rsidR="00727F55">
        <w:rPr>
          <w:i/>
          <w:iCs/>
        </w:rPr>
        <w:t>bardzo ważne</w:t>
      </w:r>
      <w:r w:rsidR="00622583" w:rsidRPr="00622583">
        <w:rPr>
          <w:i/>
          <w:iCs/>
        </w:rPr>
        <w:t>. Czasami jest tak, że widząc na kamerze np. grupę osób, przewiduje, żeby prewencyjnie wysłać tam patrol, bo może się tam coś wydarzyć. I nie wydarza się i o to chyba chodzi. Chciałbym, aby kamery działały właśnie prewencyjnie</w:t>
      </w:r>
      <w:r w:rsidR="00886158">
        <w:rPr>
          <w:i/>
          <w:iCs/>
        </w:rPr>
        <w:t xml:space="preserve">. </w:t>
      </w:r>
      <w:r w:rsidR="00B14639">
        <w:rPr>
          <w:i/>
          <w:iCs/>
        </w:rPr>
        <w:t>A jeśli dojdzie do zdarzeni</w:t>
      </w:r>
      <w:r w:rsidR="00AE791A">
        <w:rPr>
          <w:i/>
          <w:iCs/>
        </w:rPr>
        <w:t>a</w:t>
      </w:r>
      <w:r w:rsidR="00B14639">
        <w:rPr>
          <w:i/>
          <w:iCs/>
        </w:rPr>
        <w:t xml:space="preserve">, to </w:t>
      </w:r>
      <w:r w:rsidR="00ED7D95">
        <w:rPr>
          <w:i/>
          <w:iCs/>
        </w:rPr>
        <w:t xml:space="preserve">monitoring </w:t>
      </w:r>
      <w:r w:rsidR="00B14639">
        <w:rPr>
          <w:i/>
          <w:iCs/>
        </w:rPr>
        <w:t>ułatwi</w:t>
      </w:r>
      <w:r w:rsidR="00ED7D95">
        <w:rPr>
          <w:i/>
          <w:iCs/>
        </w:rPr>
        <w:t>a</w:t>
      </w:r>
      <w:r w:rsidR="0057796E">
        <w:rPr>
          <w:i/>
          <w:iCs/>
        </w:rPr>
        <w:t xml:space="preserve"> również</w:t>
      </w:r>
      <w:r w:rsidR="00B14639">
        <w:rPr>
          <w:i/>
          <w:iCs/>
        </w:rPr>
        <w:t xml:space="preserve"> koordynację służb. Przykładowo, w</w:t>
      </w:r>
      <w:r w:rsidR="00676CDF">
        <w:rPr>
          <w:i/>
          <w:iCs/>
        </w:rPr>
        <w:t> </w:t>
      </w:r>
      <w:r w:rsidR="00B14639">
        <w:rPr>
          <w:i/>
          <w:iCs/>
        </w:rPr>
        <w:t xml:space="preserve">przypadku rozboju </w:t>
      </w:r>
      <w:r w:rsidR="001D3156">
        <w:rPr>
          <w:i/>
          <w:iCs/>
        </w:rPr>
        <w:t xml:space="preserve">można przeprowadzić dwie równoległe interwencje. Pierwsza </w:t>
      </w:r>
      <w:r w:rsidR="00B14639">
        <w:rPr>
          <w:i/>
          <w:iCs/>
        </w:rPr>
        <w:t>rat</w:t>
      </w:r>
      <w:r w:rsidR="001D3156">
        <w:rPr>
          <w:i/>
          <w:iCs/>
        </w:rPr>
        <w:t>uje</w:t>
      </w:r>
      <w:r w:rsidR="00B14639">
        <w:rPr>
          <w:i/>
          <w:iCs/>
        </w:rPr>
        <w:t xml:space="preserve"> zdr</w:t>
      </w:r>
      <w:r w:rsidR="00AE791A">
        <w:rPr>
          <w:i/>
          <w:iCs/>
        </w:rPr>
        <w:t>owie</w:t>
      </w:r>
      <w:r w:rsidR="00B14639">
        <w:rPr>
          <w:i/>
          <w:iCs/>
        </w:rPr>
        <w:t xml:space="preserve"> i życie poszkodowanego</w:t>
      </w:r>
      <w:r w:rsidR="001D3156">
        <w:rPr>
          <w:i/>
          <w:iCs/>
        </w:rPr>
        <w:t xml:space="preserve">, udzielając mu pierwszej pomocy. Z kolei druga </w:t>
      </w:r>
      <w:r w:rsidR="00595B95">
        <w:rPr>
          <w:i/>
          <w:iCs/>
        </w:rPr>
        <w:t xml:space="preserve">może skupić się na </w:t>
      </w:r>
      <w:r w:rsidR="00595B95">
        <w:rPr>
          <w:i/>
          <w:iCs/>
        </w:rPr>
        <w:lastRenderedPageBreak/>
        <w:t xml:space="preserve">złapaniu sprawców, których </w:t>
      </w:r>
      <w:r w:rsidR="00BD69F7">
        <w:rPr>
          <w:i/>
          <w:iCs/>
        </w:rPr>
        <w:t xml:space="preserve">operator </w:t>
      </w:r>
      <w:r w:rsidR="009A6789">
        <w:rPr>
          <w:i/>
          <w:iCs/>
        </w:rPr>
        <w:t xml:space="preserve">na bieżąco </w:t>
      </w:r>
      <w:r w:rsidR="00595B95">
        <w:rPr>
          <w:i/>
          <w:iCs/>
        </w:rPr>
        <w:t xml:space="preserve">śledzi </w:t>
      </w:r>
      <w:r w:rsidR="003C3CEC">
        <w:rPr>
          <w:i/>
          <w:iCs/>
        </w:rPr>
        <w:t>–</w:t>
      </w:r>
      <w:r w:rsidR="00C77A85">
        <w:rPr>
          <w:i/>
          <w:iCs/>
        </w:rPr>
        <w:t xml:space="preserve"> </w:t>
      </w:r>
      <w:r w:rsidR="003C3CEC">
        <w:t xml:space="preserve">mówi Piotr Czyżewski, zastępca Komendanta Straży Miejskiej w Łodzi. </w:t>
      </w:r>
    </w:p>
    <w:p w14:paraId="437FEFB8" w14:textId="72804635" w:rsidR="00660DA9" w:rsidRPr="00351E77" w:rsidRDefault="00351E77" w:rsidP="00DB0BDE">
      <w:pPr>
        <w:rPr>
          <w:b/>
          <w:bCs/>
        </w:rPr>
      </w:pPr>
      <w:r w:rsidRPr="00351E77">
        <w:rPr>
          <w:b/>
          <w:bCs/>
        </w:rPr>
        <w:t>Co widzą kamery?</w:t>
      </w:r>
    </w:p>
    <w:p w14:paraId="5BA244BE" w14:textId="13167A67" w:rsidR="004174DA" w:rsidRDefault="00BD1C59" w:rsidP="004174DA">
      <w:pPr>
        <w:jc w:val="both"/>
      </w:pPr>
      <w:r>
        <w:t xml:space="preserve">Poza </w:t>
      </w:r>
      <w:r w:rsidR="00551F09">
        <w:t xml:space="preserve">możliwością podjęcia natychmiastowej </w:t>
      </w:r>
      <w:r w:rsidR="002C3B07">
        <w:t>interwencji</w:t>
      </w:r>
      <w:r w:rsidR="00551F09">
        <w:t xml:space="preserve">, </w:t>
      </w:r>
      <w:r w:rsidR="002845C3">
        <w:t xml:space="preserve">nagranie z monitoringu może </w:t>
      </w:r>
      <w:r w:rsidR="00551F09">
        <w:t xml:space="preserve">również </w:t>
      </w:r>
      <w:r w:rsidR="002845C3">
        <w:t xml:space="preserve">posłużyć jako dowód w sprawie, jeśli </w:t>
      </w:r>
      <w:r w:rsidR="009D728A">
        <w:t xml:space="preserve">zdarzenie zostanie zakwalifikowane jako przestępstwo. </w:t>
      </w:r>
      <w:r w:rsidR="00CF783D">
        <w:t>Kamery usprawniają też zarządzanie ruchem na drogach z infrastrukturą miejską.</w:t>
      </w:r>
      <w:r w:rsidR="000C6973">
        <w:t xml:space="preserve"> </w:t>
      </w:r>
      <w:r w:rsidR="00CF783D">
        <w:t>Sprawdzają się także w sytuacjach kryzysowych</w:t>
      </w:r>
      <w:r w:rsidR="005D3636">
        <w:t xml:space="preserve">. </w:t>
      </w:r>
      <w:r w:rsidR="0019675B">
        <w:t xml:space="preserve">Co więcej, monitoring ma również wpływ na utrzymanie </w:t>
      </w:r>
      <w:r w:rsidR="0019675B" w:rsidRPr="0019675B">
        <w:t>porządku w miejscach publicznych i przeciwdziałani</w:t>
      </w:r>
      <w:r w:rsidR="00DE55B8">
        <w:t>e</w:t>
      </w:r>
      <w:r w:rsidR="0019675B" w:rsidRPr="0019675B">
        <w:t xml:space="preserve"> aktom wandalizmu. </w:t>
      </w:r>
      <w:r w:rsidR="00836C33">
        <w:t xml:space="preserve">Najlepszy przykład </w:t>
      </w:r>
      <w:r w:rsidR="00C420E3">
        <w:t>t</w:t>
      </w:r>
      <w:r w:rsidR="00836C33">
        <w:t xml:space="preserve">o dane udostępnione przez </w:t>
      </w:r>
      <w:r w:rsidR="004174DA">
        <w:t xml:space="preserve">Straż Miejską Wrocławia, dotyczące incydentów wykrytych przez kamery: </w:t>
      </w:r>
    </w:p>
    <w:p w14:paraId="4DDC84AE" w14:textId="20864F70" w:rsidR="000E5CC6" w:rsidRDefault="009B12DC" w:rsidP="004174DA">
      <w:pPr>
        <w:pStyle w:val="Akapitzlist"/>
        <w:numPr>
          <w:ilvl w:val="0"/>
          <w:numId w:val="4"/>
        </w:numPr>
        <w:jc w:val="both"/>
      </w:pPr>
      <w:r>
        <w:t>z</w:t>
      </w:r>
      <w:r w:rsidR="00CC5E03">
        <w:t>akłócanie ładu, porządku i spokoju publicznego: 1,</w:t>
      </w:r>
      <w:r w:rsidR="00761769">
        <w:t>62</w:t>
      </w:r>
      <w:r w:rsidR="00CC5E03">
        <w:t>%,</w:t>
      </w:r>
    </w:p>
    <w:p w14:paraId="04F9F8EE" w14:textId="1BED981B" w:rsidR="00CC5E03" w:rsidRDefault="009B12DC" w:rsidP="00CC5E03">
      <w:pPr>
        <w:pStyle w:val="Akapitzlist"/>
        <w:numPr>
          <w:ilvl w:val="0"/>
          <w:numId w:val="2"/>
        </w:numPr>
        <w:jc w:val="both"/>
      </w:pPr>
      <w:r>
        <w:t>u</w:t>
      </w:r>
      <w:r w:rsidR="00CC5E03">
        <w:t>jawnienie osób wymagających pomocy: 2,5</w:t>
      </w:r>
      <w:r w:rsidR="00761769">
        <w:t>7</w:t>
      </w:r>
      <w:r w:rsidR="00CC5E03">
        <w:t>%,</w:t>
      </w:r>
    </w:p>
    <w:p w14:paraId="45384C4F" w14:textId="5750D878" w:rsidR="00CC5E03" w:rsidRDefault="009B12DC" w:rsidP="00CC5E03">
      <w:pPr>
        <w:pStyle w:val="Akapitzlist"/>
        <w:numPr>
          <w:ilvl w:val="0"/>
          <w:numId w:val="2"/>
        </w:numPr>
        <w:jc w:val="both"/>
      </w:pPr>
      <w:r>
        <w:t>u</w:t>
      </w:r>
      <w:r w:rsidR="00E33C3A">
        <w:t xml:space="preserve">jawnienie zanieczyszczania terenu, porządkowe: </w:t>
      </w:r>
      <w:r w:rsidR="00EC41EF">
        <w:t>7</w:t>
      </w:r>
      <w:r w:rsidR="00761769">
        <w:t>7,83</w:t>
      </w:r>
      <w:r w:rsidR="00EC41EF">
        <w:t>%,</w:t>
      </w:r>
    </w:p>
    <w:p w14:paraId="4E8103D3" w14:textId="51140FBC" w:rsidR="00EC41EF" w:rsidRDefault="009B12DC" w:rsidP="00CC5E03">
      <w:pPr>
        <w:pStyle w:val="Akapitzlist"/>
        <w:numPr>
          <w:ilvl w:val="0"/>
          <w:numId w:val="2"/>
        </w:numPr>
        <w:jc w:val="both"/>
      </w:pPr>
      <w:r>
        <w:t>u</w:t>
      </w:r>
      <w:r w:rsidR="00EC41EF">
        <w:t>jawnienie dewastacji, zniszczenia mienia, kradzieży: 1</w:t>
      </w:r>
      <w:r w:rsidR="00761769">
        <w:t>,25</w:t>
      </w:r>
      <w:r w:rsidR="00EC41EF">
        <w:t>%,</w:t>
      </w:r>
    </w:p>
    <w:p w14:paraId="7309F0ED" w14:textId="384A61B3" w:rsidR="00EC41EF" w:rsidRDefault="009B12DC" w:rsidP="00CC5E03">
      <w:pPr>
        <w:pStyle w:val="Akapitzlist"/>
        <w:numPr>
          <w:ilvl w:val="0"/>
          <w:numId w:val="2"/>
        </w:numPr>
        <w:jc w:val="both"/>
      </w:pPr>
      <w:r>
        <w:t>u</w:t>
      </w:r>
      <w:r w:rsidR="00EC41EF">
        <w:t>jawnienie innych zdarzeń: 1</w:t>
      </w:r>
      <w:r w:rsidR="00761769">
        <w:t>6,71</w:t>
      </w:r>
      <w:r w:rsidR="00EC41EF">
        <w:t>%.</w:t>
      </w:r>
    </w:p>
    <w:p w14:paraId="570C461B" w14:textId="1CB52BF6" w:rsidR="00BB5ECE" w:rsidRDefault="003C706A" w:rsidP="00BB5ECE">
      <w:pPr>
        <w:jc w:val="both"/>
      </w:pPr>
      <w:r>
        <w:rPr>
          <w:i/>
          <w:iCs/>
        </w:rPr>
        <w:t>–</w:t>
      </w:r>
      <w:r w:rsidR="008058DE">
        <w:rPr>
          <w:i/>
          <w:iCs/>
        </w:rPr>
        <w:t xml:space="preserve"> </w:t>
      </w:r>
      <w:r w:rsidR="0055040F">
        <w:rPr>
          <w:i/>
          <w:iCs/>
        </w:rPr>
        <w:t>Te statystyki pokazują te</w:t>
      </w:r>
      <w:r w:rsidR="000640EF">
        <w:rPr>
          <w:i/>
          <w:iCs/>
        </w:rPr>
        <w:t>ż skuteczność kamer w innym istotnym obszarze, utrzymaniu czystości</w:t>
      </w:r>
      <w:r w:rsidR="00730A7D">
        <w:rPr>
          <w:i/>
          <w:iCs/>
        </w:rPr>
        <w:t xml:space="preserve">, </w:t>
      </w:r>
      <w:r w:rsidR="00600447">
        <w:rPr>
          <w:i/>
          <w:iCs/>
        </w:rPr>
        <w:t xml:space="preserve"> porządku w miejscach publicznych i </w:t>
      </w:r>
      <w:r w:rsidR="002A6592">
        <w:rPr>
          <w:i/>
          <w:iCs/>
        </w:rPr>
        <w:t>przeciwdziałanie</w:t>
      </w:r>
      <w:r w:rsidR="008041B6">
        <w:rPr>
          <w:i/>
          <w:iCs/>
        </w:rPr>
        <w:t xml:space="preserve"> </w:t>
      </w:r>
      <w:r w:rsidR="00600447">
        <w:rPr>
          <w:i/>
          <w:iCs/>
        </w:rPr>
        <w:t>wandal</w:t>
      </w:r>
      <w:r w:rsidR="008041B6">
        <w:rPr>
          <w:i/>
          <w:iCs/>
        </w:rPr>
        <w:t>izm</w:t>
      </w:r>
      <w:r w:rsidR="002A6592">
        <w:rPr>
          <w:i/>
          <w:iCs/>
        </w:rPr>
        <w:t>owi</w:t>
      </w:r>
      <w:r w:rsidR="00AC699D">
        <w:rPr>
          <w:i/>
          <w:iCs/>
        </w:rPr>
        <w:t>.</w:t>
      </w:r>
      <w:r w:rsidR="00600447">
        <w:rPr>
          <w:i/>
          <w:iCs/>
        </w:rPr>
        <w:t xml:space="preserve"> </w:t>
      </w:r>
      <w:r w:rsidR="00730A7D">
        <w:rPr>
          <w:i/>
          <w:iCs/>
        </w:rPr>
        <w:t xml:space="preserve">Jak </w:t>
      </w:r>
      <w:r w:rsidR="00600447">
        <w:rPr>
          <w:i/>
          <w:iCs/>
        </w:rPr>
        <w:t xml:space="preserve">widać w przypadku Wrocławia, </w:t>
      </w:r>
      <w:r w:rsidR="006F2A18">
        <w:rPr>
          <w:i/>
          <w:iCs/>
        </w:rPr>
        <w:t>tego typu zdarzenia to</w:t>
      </w:r>
      <w:r w:rsidR="00610740">
        <w:rPr>
          <w:i/>
          <w:iCs/>
        </w:rPr>
        <w:t xml:space="preserve"> </w:t>
      </w:r>
      <w:r w:rsidR="0019400C">
        <w:rPr>
          <w:i/>
          <w:iCs/>
        </w:rPr>
        <w:t xml:space="preserve">¾ </w:t>
      </w:r>
      <w:r w:rsidR="00F143C1">
        <w:rPr>
          <w:i/>
          <w:iCs/>
        </w:rPr>
        <w:t xml:space="preserve">wszystkich </w:t>
      </w:r>
      <w:r w:rsidR="008B6C65">
        <w:rPr>
          <w:i/>
          <w:iCs/>
        </w:rPr>
        <w:t>rejestrowanych przez kamery.</w:t>
      </w:r>
      <w:r w:rsidR="008D73CC">
        <w:rPr>
          <w:i/>
          <w:iCs/>
        </w:rPr>
        <w:t xml:space="preserve"> </w:t>
      </w:r>
      <w:r w:rsidR="00F60BBB">
        <w:rPr>
          <w:i/>
          <w:iCs/>
        </w:rPr>
        <w:t>Monitoring umożliwia szybką interwencję lub przynajmniej ustalenie tożsamości sprawców</w:t>
      </w:r>
      <w:r w:rsidR="0083076C">
        <w:rPr>
          <w:i/>
          <w:iCs/>
        </w:rPr>
        <w:t>.</w:t>
      </w:r>
      <w:r w:rsidR="001C0138">
        <w:rPr>
          <w:i/>
          <w:iCs/>
        </w:rPr>
        <w:t xml:space="preserve"> A skuteczne wykrycie i ukaranie </w:t>
      </w:r>
      <w:r w:rsidR="00EA6828">
        <w:rPr>
          <w:i/>
          <w:iCs/>
        </w:rPr>
        <w:t>wandali</w:t>
      </w:r>
      <w:r w:rsidR="001C0138">
        <w:rPr>
          <w:i/>
          <w:iCs/>
        </w:rPr>
        <w:t>, zniechęca innych</w:t>
      </w:r>
      <w:r w:rsidR="00020C49">
        <w:rPr>
          <w:i/>
          <w:iCs/>
        </w:rPr>
        <w:t xml:space="preserve"> i zmniejsza liczbę incydentów </w:t>
      </w:r>
      <w:r w:rsidR="009C4F15">
        <w:rPr>
          <w:i/>
          <w:iCs/>
        </w:rPr>
        <w:t>w przyszłości</w:t>
      </w:r>
      <w:r w:rsidR="00A30F32">
        <w:rPr>
          <w:i/>
          <w:iCs/>
        </w:rPr>
        <w:t xml:space="preserve"> – </w:t>
      </w:r>
      <w:r w:rsidR="00A30F32" w:rsidRPr="00A30F32">
        <w:t xml:space="preserve">dodaje </w:t>
      </w:r>
      <w:r w:rsidR="00A30F32">
        <w:t xml:space="preserve">Maciej Mroszczak ze Sprint S.A. </w:t>
      </w:r>
    </w:p>
    <w:p w14:paraId="62354B2C" w14:textId="3191B180" w:rsidR="00A30F32" w:rsidRDefault="00A30F32" w:rsidP="00BB5ECE">
      <w:pPr>
        <w:jc w:val="both"/>
      </w:pPr>
    </w:p>
    <w:p w14:paraId="3D533F29" w14:textId="7006EE31" w:rsidR="00A30F32" w:rsidRDefault="00492F52" w:rsidP="00492F52">
      <w:pPr>
        <w:jc w:val="right"/>
      </w:pPr>
      <w:r>
        <w:t xml:space="preserve">Źródło: Sprint S.A. </w:t>
      </w:r>
    </w:p>
    <w:p w14:paraId="6EC94F04" w14:textId="77777777" w:rsidR="00492F52" w:rsidRPr="009C44A5" w:rsidRDefault="00492F52" w:rsidP="00492F52"/>
    <w:p w14:paraId="388D8E30" w14:textId="77777777" w:rsidR="00EC41EF" w:rsidRDefault="00EC41EF" w:rsidP="00EC41EF">
      <w:pPr>
        <w:jc w:val="both"/>
      </w:pPr>
    </w:p>
    <w:p w14:paraId="426C43DE" w14:textId="77777777" w:rsidR="000D7234" w:rsidRPr="00DB0BDE" w:rsidRDefault="000D7234" w:rsidP="00DB0BDE"/>
    <w:sectPr w:rsidR="000D7234" w:rsidRPr="00DB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BC7"/>
    <w:multiLevelType w:val="hybridMultilevel"/>
    <w:tmpl w:val="7866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102D4"/>
    <w:multiLevelType w:val="hybridMultilevel"/>
    <w:tmpl w:val="13A03BEA"/>
    <w:lvl w:ilvl="0" w:tplc="617A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0B0"/>
    <w:multiLevelType w:val="hybridMultilevel"/>
    <w:tmpl w:val="DC425658"/>
    <w:lvl w:ilvl="0" w:tplc="617A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20C"/>
    <w:multiLevelType w:val="hybridMultilevel"/>
    <w:tmpl w:val="0D10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71852">
    <w:abstractNumId w:val="3"/>
  </w:num>
  <w:num w:numId="2" w16cid:durableId="1537500935">
    <w:abstractNumId w:val="1"/>
  </w:num>
  <w:num w:numId="3" w16cid:durableId="2134052865">
    <w:abstractNumId w:val="0"/>
  </w:num>
  <w:num w:numId="4" w16cid:durableId="83978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7"/>
    <w:rsid w:val="000065B8"/>
    <w:rsid w:val="0000727A"/>
    <w:rsid w:val="00007D77"/>
    <w:rsid w:val="00020C49"/>
    <w:rsid w:val="00041359"/>
    <w:rsid w:val="00055E34"/>
    <w:rsid w:val="000640EF"/>
    <w:rsid w:val="000676B7"/>
    <w:rsid w:val="000715DA"/>
    <w:rsid w:val="0007305B"/>
    <w:rsid w:val="00093DD7"/>
    <w:rsid w:val="000A291B"/>
    <w:rsid w:val="000A795C"/>
    <w:rsid w:val="000C6973"/>
    <w:rsid w:val="000C7F69"/>
    <w:rsid w:val="000D0B54"/>
    <w:rsid w:val="000D7234"/>
    <w:rsid w:val="000E5CC6"/>
    <w:rsid w:val="001270DB"/>
    <w:rsid w:val="00151F0C"/>
    <w:rsid w:val="00155151"/>
    <w:rsid w:val="00155EF6"/>
    <w:rsid w:val="00160B71"/>
    <w:rsid w:val="001626CE"/>
    <w:rsid w:val="00180CA2"/>
    <w:rsid w:val="0019400C"/>
    <w:rsid w:val="0019675B"/>
    <w:rsid w:val="001B2EB4"/>
    <w:rsid w:val="001B4D96"/>
    <w:rsid w:val="001B5261"/>
    <w:rsid w:val="001C0138"/>
    <w:rsid w:val="001D3156"/>
    <w:rsid w:val="001E5548"/>
    <w:rsid w:val="001F1568"/>
    <w:rsid w:val="001F4076"/>
    <w:rsid w:val="001F420E"/>
    <w:rsid w:val="001F5FF1"/>
    <w:rsid w:val="00200AE8"/>
    <w:rsid w:val="00202C84"/>
    <w:rsid w:val="002144C2"/>
    <w:rsid w:val="002178F3"/>
    <w:rsid w:val="002322E5"/>
    <w:rsid w:val="002361DC"/>
    <w:rsid w:val="0024118D"/>
    <w:rsid w:val="002414AA"/>
    <w:rsid w:val="00242454"/>
    <w:rsid w:val="002476A1"/>
    <w:rsid w:val="00247DF7"/>
    <w:rsid w:val="00257F20"/>
    <w:rsid w:val="00266EF6"/>
    <w:rsid w:val="002837BA"/>
    <w:rsid w:val="002845C3"/>
    <w:rsid w:val="002A362D"/>
    <w:rsid w:val="002A59DE"/>
    <w:rsid w:val="002A6592"/>
    <w:rsid w:val="002C033C"/>
    <w:rsid w:val="002C2E3F"/>
    <w:rsid w:val="002C3359"/>
    <w:rsid w:val="002C3B07"/>
    <w:rsid w:val="002C7BC3"/>
    <w:rsid w:val="002D3F09"/>
    <w:rsid w:val="002D4485"/>
    <w:rsid w:val="002E30D0"/>
    <w:rsid w:val="002E3AB8"/>
    <w:rsid w:val="002E5ABD"/>
    <w:rsid w:val="002E71E0"/>
    <w:rsid w:val="002F7CCD"/>
    <w:rsid w:val="00303D4F"/>
    <w:rsid w:val="00333A69"/>
    <w:rsid w:val="00334889"/>
    <w:rsid w:val="00340841"/>
    <w:rsid w:val="00341DB4"/>
    <w:rsid w:val="003453ED"/>
    <w:rsid w:val="00351E77"/>
    <w:rsid w:val="00353232"/>
    <w:rsid w:val="00355262"/>
    <w:rsid w:val="0036177C"/>
    <w:rsid w:val="00362431"/>
    <w:rsid w:val="003634CC"/>
    <w:rsid w:val="0036454B"/>
    <w:rsid w:val="00380E50"/>
    <w:rsid w:val="00382547"/>
    <w:rsid w:val="00385F89"/>
    <w:rsid w:val="00386257"/>
    <w:rsid w:val="003A1315"/>
    <w:rsid w:val="003B6EA8"/>
    <w:rsid w:val="003B71B0"/>
    <w:rsid w:val="003C3CEC"/>
    <w:rsid w:val="003C706A"/>
    <w:rsid w:val="003C79C0"/>
    <w:rsid w:val="003D0D9D"/>
    <w:rsid w:val="003D2E64"/>
    <w:rsid w:val="003D3EDA"/>
    <w:rsid w:val="003E3BD8"/>
    <w:rsid w:val="003F1650"/>
    <w:rsid w:val="00403E96"/>
    <w:rsid w:val="00406492"/>
    <w:rsid w:val="00410BC0"/>
    <w:rsid w:val="00416BDB"/>
    <w:rsid w:val="004174DA"/>
    <w:rsid w:val="00417DC6"/>
    <w:rsid w:val="00422D19"/>
    <w:rsid w:val="00423147"/>
    <w:rsid w:val="00424763"/>
    <w:rsid w:val="004369F8"/>
    <w:rsid w:val="0046499B"/>
    <w:rsid w:val="00470783"/>
    <w:rsid w:val="00473B78"/>
    <w:rsid w:val="00483B24"/>
    <w:rsid w:val="00492F52"/>
    <w:rsid w:val="004C059E"/>
    <w:rsid w:val="004D14FB"/>
    <w:rsid w:val="004D4821"/>
    <w:rsid w:val="004D6CF6"/>
    <w:rsid w:val="004F4EAE"/>
    <w:rsid w:val="004F7386"/>
    <w:rsid w:val="005060F4"/>
    <w:rsid w:val="00523530"/>
    <w:rsid w:val="00527CD9"/>
    <w:rsid w:val="00530117"/>
    <w:rsid w:val="0054379F"/>
    <w:rsid w:val="005476EC"/>
    <w:rsid w:val="0055040F"/>
    <w:rsid w:val="00551F09"/>
    <w:rsid w:val="00556814"/>
    <w:rsid w:val="0056050C"/>
    <w:rsid w:val="00561A09"/>
    <w:rsid w:val="00567946"/>
    <w:rsid w:val="00574E58"/>
    <w:rsid w:val="0057796E"/>
    <w:rsid w:val="0058483E"/>
    <w:rsid w:val="00586741"/>
    <w:rsid w:val="00595B95"/>
    <w:rsid w:val="005A195D"/>
    <w:rsid w:val="005C72BD"/>
    <w:rsid w:val="005D3636"/>
    <w:rsid w:val="005D6C03"/>
    <w:rsid w:val="005F2F9B"/>
    <w:rsid w:val="00600447"/>
    <w:rsid w:val="00610740"/>
    <w:rsid w:val="00612F07"/>
    <w:rsid w:val="00622583"/>
    <w:rsid w:val="006357E5"/>
    <w:rsid w:val="00647900"/>
    <w:rsid w:val="00653C12"/>
    <w:rsid w:val="00656CC1"/>
    <w:rsid w:val="00660DA9"/>
    <w:rsid w:val="00664810"/>
    <w:rsid w:val="00666212"/>
    <w:rsid w:val="006677F6"/>
    <w:rsid w:val="00670C00"/>
    <w:rsid w:val="00672805"/>
    <w:rsid w:val="00674356"/>
    <w:rsid w:val="00676CDF"/>
    <w:rsid w:val="0067778C"/>
    <w:rsid w:val="0068314A"/>
    <w:rsid w:val="00687128"/>
    <w:rsid w:val="006871DD"/>
    <w:rsid w:val="00687A0A"/>
    <w:rsid w:val="00695B53"/>
    <w:rsid w:val="00697F36"/>
    <w:rsid w:val="006C4586"/>
    <w:rsid w:val="006C66E0"/>
    <w:rsid w:val="006C72D2"/>
    <w:rsid w:val="006C7395"/>
    <w:rsid w:val="006D660C"/>
    <w:rsid w:val="006E4EC3"/>
    <w:rsid w:val="006F2A18"/>
    <w:rsid w:val="00700AAE"/>
    <w:rsid w:val="0072031D"/>
    <w:rsid w:val="0072687A"/>
    <w:rsid w:val="00727F55"/>
    <w:rsid w:val="00730A7D"/>
    <w:rsid w:val="00730F09"/>
    <w:rsid w:val="007322BA"/>
    <w:rsid w:val="00745567"/>
    <w:rsid w:val="007479D7"/>
    <w:rsid w:val="00750553"/>
    <w:rsid w:val="00761603"/>
    <w:rsid w:val="00761769"/>
    <w:rsid w:val="00761AE0"/>
    <w:rsid w:val="00773B0F"/>
    <w:rsid w:val="00786D24"/>
    <w:rsid w:val="00787463"/>
    <w:rsid w:val="007B479D"/>
    <w:rsid w:val="007B66AF"/>
    <w:rsid w:val="007D6D6A"/>
    <w:rsid w:val="007F7B8F"/>
    <w:rsid w:val="008041B6"/>
    <w:rsid w:val="008058DE"/>
    <w:rsid w:val="008138C9"/>
    <w:rsid w:val="0081621A"/>
    <w:rsid w:val="00821718"/>
    <w:rsid w:val="0083076C"/>
    <w:rsid w:val="00836C33"/>
    <w:rsid w:val="00841075"/>
    <w:rsid w:val="00867220"/>
    <w:rsid w:val="00886158"/>
    <w:rsid w:val="008B1EE7"/>
    <w:rsid w:val="008B6C65"/>
    <w:rsid w:val="008C1A5F"/>
    <w:rsid w:val="008C7463"/>
    <w:rsid w:val="008D73CC"/>
    <w:rsid w:val="008E4883"/>
    <w:rsid w:val="008E55C7"/>
    <w:rsid w:val="00910A0E"/>
    <w:rsid w:val="00910D02"/>
    <w:rsid w:val="0092214C"/>
    <w:rsid w:val="00926FD0"/>
    <w:rsid w:val="009277CF"/>
    <w:rsid w:val="00944E4E"/>
    <w:rsid w:val="009653DA"/>
    <w:rsid w:val="00974969"/>
    <w:rsid w:val="00985FAA"/>
    <w:rsid w:val="009A6789"/>
    <w:rsid w:val="009B12DC"/>
    <w:rsid w:val="009B2014"/>
    <w:rsid w:val="009B4973"/>
    <w:rsid w:val="009B5C96"/>
    <w:rsid w:val="009B73A1"/>
    <w:rsid w:val="009C2CBE"/>
    <w:rsid w:val="009C44A5"/>
    <w:rsid w:val="009C4F15"/>
    <w:rsid w:val="009C5C7C"/>
    <w:rsid w:val="009D2197"/>
    <w:rsid w:val="009D3D0B"/>
    <w:rsid w:val="009D728A"/>
    <w:rsid w:val="00A007D3"/>
    <w:rsid w:val="00A063A5"/>
    <w:rsid w:val="00A130B1"/>
    <w:rsid w:val="00A2785E"/>
    <w:rsid w:val="00A27C2E"/>
    <w:rsid w:val="00A30F32"/>
    <w:rsid w:val="00A400E1"/>
    <w:rsid w:val="00A414AE"/>
    <w:rsid w:val="00A451B1"/>
    <w:rsid w:val="00A45B17"/>
    <w:rsid w:val="00A571EC"/>
    <w:rsid w:val="00A706D7"/>
    <w:rsid w:val="00A73066"/>
    <w:rsid w:val="00A7699F"/>
    <w:rsid w:val="00A775C5"/>
    <w:rsid w:val="00A82795"/>
    <w:rsid w:val="00A914F3"/>
    <w:rsid w:val="00A928BF"/>
    <w:rsid w:val="00AA691E"/>
    <w:rsid w:val="00AB4C04"/>
    <w:rsid w:val="00AC0531"/>
    <w:rsid w:val="00AC34E8"/>
    <w:rsid w:val="00AC4409"/>
    <w:rsid w:val="00AC5E9C"/>
    <w:rsid w:val="00AC699D"/>
    <w:rsid w:val="00AD16DA"/>
    <w:rsid w:val="00AD5657"/>
    <w:rsid w:val="00AE2E76"/>
    <w:rsid w:val="00AE445C"/>
    <w:rsid w:val="00AE455C"/>
    <w:rsid w:val="00AE791A"/>
    <w:rsid w:val="00AF199D"/>
    <w:rsid w:val="00B01C13"/>
    <w:rsid w:val="00B0299A"/>
    <w:rsid w:val="00B03398"/>
    <w:rsid w:val="00B07192"/>
    <w:rsid w:val="00B14639"/>
    <w:rsid w:val="00B14F0F"/>
    <w:rsid w:val="00B21169"/>
    <w:rsid w:val="00B2224C"/>
    <w:rsid w:val="00B234A5"/>
    <w:rsid w:val="00B24E03"/>
    <w:rsid w:val="00B315E8"/>
    <w:rsid w:val="00B45453"/>
    <w:rsid w:val="00B51C0D"/>
    <w:rsid w:val="00B52CF3"/>
    <w:rsid w:val="00B533E6"/>
    <w:rsid w:val="00B5380D"/>
    <w:rsid w:val="00B90AC1"/>
    <w:rsid w:val="00B968D2"/>
    <w:rsid w:val="00BA76C6"/>
    <w:rsid w:val="00BB5ECE"/>
    <w:rsid w:val="00BC3289"/>
    <w:rsid w:val="00BD1C59"/>
    <w:rsid w:val="00BD69F7"/>
    <w:rsid w:val="00BF5E46"/>
    <w:rsid w:val="00C02758"/>
    <w:rsid w:val="00C13AB8"/>
    <w:rsid w:val="00C24567"/>
    <w:rsid w:val="00C26D88"/>
    <w:rsid w:val="00C26EF6"/>
    <w:rsid w:val="00C3430B"/>
    <w:rsid w:val="00C420E3"/>
    <w:rsid w:val="00C62DD7"/>
    <w:rsid w:val="00C671B7"/>
    <w:rsid w:val="00C701EC"/>
    <w:rsid w:val="00C77A85"/>
    <w:rsid w:val="00C82A0F"/>
    <w:rsid w:val="00C94AB8"/>
    <w:rsid w:val="00C96298"/>
    <w:rsid w:val="00CA371F"/>
    <w:rsid w:val="00CA6989"/>
    <w:rsid w:val="00CC1344"/>
    <w:rsid w:val="00CC5E03"/>
    <w:rsid w:val="00CD4538"/>
    <w:rsid w:val="00CE538F"/>
    <w:rsid w:val="00CF5B7C"/>
    <w:rsid w:val="00CF783D"/>
    <w:rsid w:val="00D10BD0"/>
    <w:rsid w:val="00D15D60"/>
    <w:rsid w:val="00D16380"/>
    <w:rsid w:val="00D30777"/>
    <w:rsid w:val="00D36EDE"/>
    <w:rsid w:val="00D46190"/>
    <w:rsid w:val="00D500BA"/>
    <w:rsid w:val="00D50CC7"/>
    <w:rsid w:val="00D5488D"/>
    <w:rsid w:val="00D606CA"/>
    <w:rsid w:val="00D61C42"/>
    <w:rsid w:val="00D628E0"/>
    <w:rsid w:val="00D73B08"/>
    <w:rsid w:val="00D74FA1"/>
    <w:rsid w:val="00D752B8"/>
    <w:rsid w:val="00DA225E"/>
    <w:rsid w:val="00DA2B3D"/>
    <w:rsid w:val="00DB094F"/>
    <w:rsid w:val="00DB0BDE"/>
    <w:rsid w:val="00DB3562"/>
    <w:rsid w:val="00DE55B8"/>
    <w:rsid w:val="00DF2C2C"/>
    <w:rsid w:val="00E10C1A"/>
    <w:rsid w:val="00E169B9"/>
    <w:rsid w:val="00E25081"/>
    <w:rsid w:val="00E33C3A"/>
    <w:rsid w:val="00E5305F"/>
    <w:rsid w:val="00E542F5"/>
    <w:rsid w:val="00E76446"/>
    <w:rsid w:val="00E90BD3"/>
    <w:rsid w:val="00E92C7D"/>
    <w:rsid w:val="00E9358E"/>
    <w:rsid w:val="00EA51DD"/>
    <w:rsid w:val="00EA6828"/>
    <w:rsid w:val="00EB1639"/>
    <w:rsid w:val="00EB5E87"/>
    <w:rsid w:val="00EB724F"/>
    <w:rsid w:val="00EC41EF"/>
    <w:rsid w:val="00ED42DE"/>
    <w:rsid w:val="00ED7D95"/>
    <w:rsid w:val="00EE17A5"/>
    <w:rsid w:val="00EF02EC"/>
    <w:rsid w:val="00EF1395"/>
    <w:rsid w:val="00EF5E03"/>
    <w:rsid w:val="00F01E80"/>
    <w:rsid w:val="00F07966"/>
    <w:rsid w:val="00F11DE1"/>
    <w:rsid w:val="00F143C1"/>
    <w:rsid w:val="00F16F13"/>
    <w:rsid w:val="00F30DBA"/>
    <w:rsid w:val="00F458A8"/>
    <w:rsid w:val="00F50BE5"/>
    <w:rsid w:val="00F51160"/>
    <w:rsid w:val="00F52896"/>
    <w:rsid w:val="00F60BBB"/>
    <w:rsid w:val="00F753CA"/>
    <w:rsid w:val="00F813D1"/>
    <w:rsid w:val="00F82DDC"/>
    <w:rsid w:val="00F8728D"/>
    <w:rsid w:val="00F87DB7"/>
    <w:rsid w:val="00F94C93"/>
    <w:rsid w:val="00F96DD6"/>
    <w:rsid w:val="00FA513E"/>
    <w:rsid w:val="00FA6AE0"/>
    <w:rsid w:val="00FA7293"/>
    <w:rsid w:val="00FB14DE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E350"/>
  <w15:chartTrackingRefBased/>
  <w15:docId w15:val="{4E243A51-F25B-4864-B741-1AD07AA5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BDE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261"/>
    <w:pPr>
      <w:ind w:left="720"/>
      <w:contextualSpacing/>
    </w:pPr>
  </w:style>
  <w:style w:type="table" w:styleId="Tabela-Siatka">
    <w:name w:val="Table Grid"/>
    <w:basedOn w:val="Standardowy"/>
    <w:uiPriority w:val="39"/>
    <w:rsid w:val="00D5488D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88D"/>
    <w:pPr>
      <w:spacing w:after="0" w:line="240" w:lineRule="auto"/>
    </w:pPr>
    <w:rPr>
      <w:rFonts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88D"/>
    <w:rPr>
      <w:rFonts w:ascii="Tahoma" w:hAnsi="Tahom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488D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DA9"/>
    <w:pPr>
      <w:spacing w:after="160"/>
    </w:pPr>
    <w:rPr>
      <w:rFonts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DA9"/>
    <w:rPr>
      <w:rFonts w:ascii="Tahoma" w:hAnsi="Tahoma" w:cs="Tahom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A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500BA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Tomasz Luty</cp:lastModifiedBy>
  <cp:revision>5</cp:revision>
  <dcterms:created xsi:type="dcterms:W3CDTF">2022-07-11T10:23:00Z</dcterms:created>
  <dcterms:modified xsi:type="dcterms:W3CDTF">2022-07-13T09:39:00Z</dcterms:modified>
</cp:coreProperties>
</file>