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Zaczytane ławki, zbiórka książek i zajęcia z bajkoterapii – wyjątkowa akcja Coccodrillo z Fundacją Zaczytani.org!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Znana z wielu akcji CSR marka odzieży dziecięcej, Coccodrillo, nawiązała współpracę z Fundacją Zaczytani.org. W jej ramach przygotowano szereg inicjatyw mających na celu popularyzację czytelnictwa oraz zwiększanie dostępu do literatury.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głównym przesłaniem Coccodrillo: “Kids are kids” – dzieci są dziećmi, a nam, dorosłym, powinno zależeć na tym, by miały przestrzeń i możliwości do zdrowego rozwoju, beztroski oraz nieograniczonego wyrażania siebie. Dużą rolę odgrywa w tym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czytanie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które rozwija kreatywność i wyobraźnię dziecka, dlatego marka nawiązała współpracę z Fundacją Zaczytani.org i przygotowała wiele inicjatyw, które wesprą popularyzację czytelnictwa wśród najmłodszych.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Wrażliwość i społeczna odpowiedzialność biznesu są wpisane w DNA marki Coccodrillo, dlatego zawsze chętnie wspieramy wszelkie akcje charytatywne i inicjatywy. W tym roku, poza naszą, trwającą już od 4 lat, współpracą z Fundacją Mam Marzenie, włączyliśmy się do pomocy stowarzyszeniu SOS Wioski Dziecięce oraz zdecydowaliśmy się na wsparcie Fundacji Zaczytani.org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komentuje Paulina Wiertlewska, Kierownik Marketingu Coccodrillo.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Liczymy, że tak samo, jak w przypadku poprzednich akcji charytatywnych, nowa inicjatywa spotka się z dużym odzewem i wsparciem naszych Klientów 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dodaje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Misją Fundacji Zaczytani.org jest promocja czytelnictwa i edukacja społeczna. Swoimi przedsięwzięciami wspiera ona podopiecznych placówek pomocowych, pacjentów szpitali oraz inspiruje mieszkańców miast.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Zaczytane eventy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ramach akcji, w Poznaniu, Krakowie, Wrocławiu i Warszawie odbędą się eventy, podczas których zostaną wystawione inspirujące rzeźby w formie zaczytanych ławek. Poza walorami estetycznymi zapewnią one przez dwa tygodnie bezpłatny dostęp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audiobooków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Autorami ławek są znani artyści oraz osoby medialne, dzięki czemu każda z rzeźb ma unikalny charakter. Ambasadorami Zaczytanych Ławek są m.in. Andrzej Mleczko, Mateusz Damięcki, Beata Pawlikowska i Małgorzata Ostrowska.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Podczas eventów nie zabraknie również konkursów, zajęć  z bajkoterapii dla dzieci w wieku 4-10 lat, zbiórki książek dla najbardziej potrzebujących i dodatkowych upominków dla małych gości galerii, w tym kuponów rabatowych do sklepów stacjonarnych Coccodrillo. Organizatorzy zapraszają do udziału w wydarzeniu z następujących lokalizacjach: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 sierpnia, godz. 12:00-16:00 – Posnania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28 sierpnia, godz. 11:00-15:00 – Centrum Serenada w Krakowie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03 września, godz. 11:00-15:00 – Galeria Północna w Warszawie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 września, godz. 11:00-15:00 – Magnolia Park we Wrocławiu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Zbieramy i pomagamy!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salonach stacjonarnych Coccodrillo w całej Polsce, w dniach 27 sierpnia – 12 września będzie prowadzona zbiórka książek, dzięki którym marka, wspólnie z Fundacją Zaczytani.org otworzy dwie zaczytane biblioteki zlokalizowane w wybranych placówkach pomocowych dla dzieci i młodzieży.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Jakie są zasady akcji? Wystarczy przynieść nową lub używaną, ale w bardzo dobrym stanie książkę, wydaną po roku 2000 i napisaną w języku polskim. Przyjmowane będą wszystkie lektury zarówno dla dzieci, młodzieży, jak i dorosłych, z wyjątkiem m.in. podręczników, encyklopedii, słowników czy poradników.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 przyniesienie książek Klient otrzyma gadżet w postaci naklejki.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„Zaczytane Biblioteki” to charytatywny projekt, który powstał z inicjatywy Fundacji Zaczytani.org. Jego celem jest dostarczanie książek m.in. pacjentom szpitali, hospicjów, podopiecznym domów dziecka i rodzin zastępczych, a także mieszkańcom odwiedzającym świetlice oraz lokalne centra aktywności. Dzięki temu najbardziej potrzebujący mogą przenieść się w magiczny świat literatury.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Więcej informacji na temat współpracy z Zaczytani.org będzie można znaleźć m.in. na Facebooku Coccodrillo.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Coccodrillo to znana rodzicom polska marka odzieży dla niemowląt i dzieci, działająca na rynku od 2003 roku i należąca do spółki CDRL S.A. Coccodrillo prowadzi sprzedaż poprzez sklep internetowy, a także za pośrednictwem salonów sprzedaży stacjonarnej. W Polsce są to prawie 250 sklepów w większych i mniejszych miastach. Na świecie oferta marki dostępna jest w 230 punktach na 3 kontynentach: w Azji, Europie oraz Afryce. Coccodrillo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Coccodrillo wyrażać siebie i kreować swój własny styl.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2.559055118112" w:top="2977" w:left="1134" w:right="1134" w:header="851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Sisco Th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Sisco Thin" w:cs="Sisco Thin" w:eastAsia="Sisco Thin" w:hAnsi="Sisco Th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771775" cy="771525"/>
              <wp:effectExtent b="0" l="0" r="0" t="0"/>
              <wp:wrapSquare wrapText="bothSides" distB="0" distT="0" distL="114300" distR="114300"/>
              <wp:docPr id="6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Sąd Rejonowy Poznań – Nowe Miasto i Wilda w Poznaniu,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IX Wydział Gospodarczy,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KRS 00000392920, NIP 698-16-73-166,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kapitał zakładowy 3.027.272 zł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771775" cy="771525"/>
              <wp:effectExtent b="0" l="0" r="0" t="0"/>
              <wp:wrapSquare wrapText="bothSides" distB="0" distT="0" distL="114300" distR="114300"/>
              <wp:docPr id="6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26"/>
      </w:tabs>
      <w:spacing w:after="0" w:before="0" w:line="240" w:lineRule="auto"/>
      <w:ind w:left="0" w:right="0" w:firstLine="0"/>
      <w:jc w:val="left"/>
      <w:rPr>
        <w:rFonts w:ascii="Sisco Thin" w:cs="Sisco Thin" w:eastAsia="Sisco Thin" w:hAnsi="Sisco Th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7200</wp:posOffset>
          </wp:positionH>
          <wp:positionV relativeFrom="page">
            <wp:posOffset>0</wp:posOffset>
          </wp:positionV>
          <wp:extent cx="7561081" cy="10692000"/>
          <wp:effectExtent b="0" l="0" r="0" t="0"/>
          <wp:wrapNone/>
          <wp:docPr id="6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274320</wp:posOffset>
              </wp:positionV>
              <wp:extent cx="2513330" cy="1038225"/>
              <wp:effectExtent b="0" l="0" r="0" t="0"/>
              <wp:wrapNone/>
              <wp:docPr id="6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CDRL S.A.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ul. Kwiatowa 2, Pianowo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64-000 Kościan, POLSKA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T: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F: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8"/>
                              <w:vertAlign w:val="baseline"/>
                            </w:rPr>
                            <w:t xml:space="preserve">www.coccodrillo.eu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274320</wp:posOffset>
              </wp:positionV>
              <wp:extent cx="2513330" cy="1038225"/>
              <wp:effectExtent b="0" l="0" r="0" t="0"/>
              <wp:wrapNone/>
              <wp:docPr id="6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3330" cy="1038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sco Thin" w:cs="Sisco Thin" w:eastAsia="Sisco Thin" w:hAnsi="Sisco Thin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D79FC"/>
  </w:style>
  <w:style w:type="paragraph" w:styleId="Podstawowyakapitowy" w:customStyle="1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397EFE"/>
    <w:pPr>
      <w:ind w:left="720"/>
      <w:contextualSpacing w:val="1"/>
    </w:pPr>
  </w:style>
  <w:style w:type="paragraph" w:styleId="Bezodstpw">
    <w:name w:val="No Spacing"/>
    <w:uiPriority w:val="1"/>
    <w:qFormat w:val="1"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36A9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36A9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36A9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217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2177D"/>
    <w:rPr>
      <w:rFonts w:ascii="Segoe UI" w:cs="Segoe UI" w:hAnsi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287AF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87AF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f1o5JhF1Z8tNR+eazIZrZiwYA==">AMUW2mWmRKaBNQ3RSnaYaty5cQXwBc+fkJpLFiy9dpFnot7RbZCpIQxSjKtdT0xS+zYb+ZUOi8r1XvO2NVr8ztv33eNEtMyl7lqIFWTrFHzZDHVJUmQMQVvGmx1ArSKTs8V+ANbQgFs4gb1GQD0OVVoNGPGqfk0DL5am3mK4ulGfZRIpGjrp+MEZqO6OySJL+sw9vqIb6cJvcI0mlM6DpIbpD/hh5Y6tu+PakYNQXekx5F+IkPmDgOJtLGy+Z1X7zdiEWcjWaC0NT/YMTaWhhoBdaAKApVtD3BKuq5WCmCEqL1i72IbuhUT6VjU+8W4q7D2Nt+PC9OLge76kYReqCZu2k1e0vZUDVUh7JOJzwGnhtgsboZyyCo9KeB/Vye3aj8Xmxrz6fFIiyP5ecogmFG+9mLnkABgr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2021-04-22T09:54:00Z</dcterms:created>
  <dc:creator>P Pomarancza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