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BF02" w14:textId="77777777" w:rsidR="002A170C" w:rsidRPr="004C6938" w:rsidRDefault="002A170C" w:rsidP="00E5480C">
      <w:pPr>
        <w:widowControl w:val="0"/>
        <w:pBdr>
          <w:top w:val="nil"/>
          <w:left w:val="nil"/>
          <w:bottom w:val="nil"/>
          <w:right w:val="nil"/>
          <w:between w:val="nil"/>
        </w:pBdr>
        <w:spacing w:line="276" w:lineRule="auto"/>
        <w:jc w:val="both"/>
        <w:rPr>
          <w:rFonts w:ascii="Trebuchet MS" w:hAnsi="Trebuchet MS"/>
          <w:lang w:val="pl-PL"/>
        </w:rPr>
      </w:pPr>
    </w:p>
    <w:p w14:paraId="54FF5479" w14:textId="03E59D7E" w:rsidR="001614F5" w:rsidRPr="004C6938" w:rsidRDefault="000D2A7A" w:rsidP="004C6938">
      <w:pPr>
        <w:spacing w:after="280" w:line="276" w:lineRule="auto"/>
        <w:jc w:val="right"/>
        <w:rPr>
          <w:rFonts w:ascii="Trebuchet MS" w:eastAsia="Trebuchet MS" w:hAnsi="Trebuchet MS" w:cs="Trebuchet MS"/>
          <w:lang w:val="pl-PL"/>
        </w:rPr>
      </w:pPr>
      <w:bookmarkStart w:id="0" w:name="_heading=h.gjdgxs" w:colFirst="0" w:colLast="0"/>
      <w:bookmarkEnd w:id="0"/>
      <w:r w:rsidRPr="004C6938">
        <w:rPr>
          <w:rFonts w:ascii="Trebuchet MS" w:eastAsia="Trebuchet MS" w:hAnsi="Trebuchet MS" w:cs="Trebuchet MS"/>
          <w:lang w:val="pl-PL"/>
        </w:rPr>
        <w:t>Informacja prasow</w:t>
      </w:r>
      <w:r w:rsidR="00F6353A" w:rsidRPr="004C6938">
        <w:rPr>
          <w:rFonts w:ascii="Trebuchet MS" w:eastAsia="Trebuchet MS" w:hAnsi="Trebuchet MS" w:cs="Trebuchet MS"/>
          <w:lang w:val="pl-PL"/>
        </w:rPr>
        <w:t>a</w:t>
      </w:r>
      <w:r w:rsidRPr="004C6938">
        <w:rPr>
          <w:rFonts w:ascii="Trebuchet MS" w:eastAsia="Trebuchet MS" w:hAnsi="Trebuchet MS" w:cs="Trebuchet MS"/>
          <w:lang w:val="pl-PL"/>
        </w:rPr>
        <w:t xml:space="preserve">, Warszawa, </w:t>
      </w:r>
      <w:r w:rsidR="001614F5" w:rsidRPr="004C6938">
        <w:rPr>
          <w:rFonts w:ascii="Trebuchet MS" w:eastAsia="Trebuchet MS" w:hAnsi="Trebuchet MS" w:cs="Trebuchet MS"/>
          <w:lang w:val="pl-PL"/>
        </w:rPr>
        <w:t>2</w:t>
      </w:r>
      <w:r w:rsidR="00E76A39">
        <w:rPr>
          <w:rFonts w:ascii="Trebuchet MS" w:eastAsia="Trebuchet MS" w:hAnsi="Trebuchet MS" w:cs="Trebuchet MS"/>
          <w:lang w:val="pl-PL"/>
        </w:rPr>
        <w:t>8</w:t>
      </w:r>
      <w:r w:rsidRPr="004C6938">
        <w:rPr>
          <w:rFonts w:ascii="Trebuchet MS" w:eastAsia="Trebuchet MS" w:hAnsi="Trebuchet MS" w:cs="Trebuchet MS"/>
          <w:lang w:val="pl-PL"/>
        </w:rPr>
        <w:t>.</w:t>
      </w:r>
      <w:r w:rsidR="001614F5" w:rsidRPr="004C6938">
        <w:rPr>
          <w:rFonts w:ascii="Trebuchet MS" w:eastAsia="Trebuchet MS" w:hAnsi="Trebuchet MS" w:cs="Trebuchet MS"/>
          <w:lang w:val="pl-PL"/>
        </w:rPr>
        <w:t>02</w:t>
      </w:r>
      <w:r w:rsidRPr="004C6938">
        <w:rPr>
          <w:rFonts w:ascii="Trebuchet MS" w:eastAsia="Trebuchet MS" w:hAnsi="Trebuchet MS" w:cs="Trebuchet MS"/>
          <w:lang w:val="pl-PL"/>
        </w:rPr>
        <w:t>.2</w:t>
      </w:r>
      <w:r w:rsidR="00FE4CB5" w:rsidRPr="004C6938">
        <w:rPr>
          <w:rFonts w:ascii="Trebuchet MS" w:eastAsia="Trebuchet MS" w:hAnsi="Trebuchet MS" w:cs="Trebuchet MS"/>
          <w:lang w:val="pl-PL"/>
        </w:rPr>
        <w:t>02</w:t>
      </w:r>
      <w:r w:rsidR="001614F5" w:rsidRPr="004C6938">
        <w:rPr>
          <w:rFonts w:ascii="Trebuchet MS" w:eastAsia="Trebuchet MS" w:hAnsi="Trebuchet MS" w:cs="Trebuchet MS"/>
          <w:lang w:val="pl-PL"/>
        </w:rPr>
        <w:t>3</w:t>
      </w:r>
    </w:p>
    <w:p w14:paraId="05E3EA8D" w14:textId="1481DCC6" w:rsidR="001614F5" w:rsidRPr="004C6938" w:rsidRDefault="001614F5" w:rsidP="001614F5">
      <w:pPr>
        <w:jc w:val="center"/>
        <w:rPr>
          <w:rFonts w:ascii="Times New Roman" w:eastAsia="Times New Roman" w:hAnsi="Times New Roman" w:cs="Times New Roman"/>
          <w:sz w:val="24"/>
          <w:szCs w:val="24"/>
          <w:lang w:val="pl-PL"/>
        </w:rPr>
      </w:pPr>
      <w:r w:rsidRPr="004C6938">
        <w:rPr>
          <w:rFonts w:ascii="Trebuchet MS" w:eastAsia="Times New Roman" w:hAnsi="Trebuchet MS" w:cs="Times New Roman"/>
          <w:b/>
          <w:bCs/>
          <w:color w:val="000000"/>
          <w:sz w:val="28"/>
          <w:szCs w:val="28"/>
          <w:lang w:val="pl-PL"/>
        </w:rPr>
        <w:t>Jak Polski Ład wpłynął na rozwój płatności bezgotówkowych?</w:t>
      </w:r>
    </w:p>
    <w:p w14:paraId="740BF4CD" w14:textId="7FE32009" w:rsidR="001614F5" w:rsidRPr="004C6938" w:rsidRDefault="001614F5" w:rsidP="004C6938">
      <w:pPr>
        <w:spacing w:after="240"/>
        <w:jc w:val="center"/>
        <w:rPr>
          <w:rFonts w:ascii="Times New Roman" w:eastAsia="Times New Roman" w:hAnsi="Times New Roman" w:cs="Times New Roman"/>
          <w:sz w:val="24"/>
          <w:szCs w:val="24"/>
          <w:lang w:val="pl-PL"/>
        </w:rPr>
      </w:pPr>
      <w:r w:rsidRPr="004C6938">
        <w:rPr>
          <w:rFonts w:ascii="Trebuchet MS" w:eastAsia="Times New Roman" w:hAnsi="Trebuchet MS" w:cs="Times New Roman"/>
          <w:b/>
          <w:bCs/>
          <w:color w:val="000000"/>
          <w:sz w:val="24"/>
          <w:szCs w:val="24"/>
          <w:lang w:val="pl-PL"/>
        </w:rPr>
        <w:t>Rozwiązania płatnicze, które rozwinęły się w 2022 roku. </w:t>
      </w:r>
    </w:p>
    <w:p w14:paraId="740768C8" w14:textId="7C03AB0A" w:rsidR="001614F5" w:rsidRPr="004C6938" w:rsidRDefault="001614F5" w:rsidP="004C6938">
      <w:pPr>
        <w:spacing w:after="240"/>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b/>
          <w:bCs/>
          <w:color w:val="000000"/>
          <w:lang w:val="pl-PL"/>
        </w:rPr>
        <w:t>Nowelizacja ustawy o PIT i CIT, która weszła w życie 1 stycznia 2022 roku, nałożyła na podatników posiadających kasę fiskalną obowiązek przyjmowania płatności bezgotówkowych. Wprowadzone zmiany legislacyjne znacznie przyspieszyły proces cyfryzacji transakcji. Według danych PayTel, liczba terminali w pierwszym kwartale 2022 roku wzrosła o 113% r/r.</w:t>
      </w:r>
    </w:p>
    <w:p w14:paraId="0246FFB6" w14:textId="33C5982B" w:rsidR="001614F5" w:rsidRPr="004C6938" w:rsidRDefault="002466C4" w:rsidP="004C6938">
      <w:pPr>
        <w:spacing w:after="240"/>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i/>
          <w:iCs/>
          <w:color w:val="000000"/>
          <w:lang w:val="pl-PL"/>
        </w:rPr>
        <w:t>„</w:t>
      </w:r>
      <w:r w:rsidR="001614F5" w:rsidRPr="004C6938">
        <w:rPr>
          <w:rFonts w:ascii="Trebuchet MS" w:eastAsia="Times New Roman" w:hAnsi="Trebuchet MS" w:cs="Times New Roman"/>
          <w:i/>
          <w:iCs/>
          <w:color w:val="000000"/>
          <w:lang w:val="pl-PL"/>
        </w:rPr>
        <w:t>Miniony rok z pewnością był rekordowy, jeśli chodzi o zainteresowanie mikroprzedsiębiorców terminalami płatniczymi. Wprowadzone zmiany legislacyjne zmotywowały ich do sfinalizowania umów na urządzenia fizyczne i aplikacje LightPOS</w:t>
      </w:r>
      <w:r w:rsidRPr="004C6938">
        <w:rPr>
          <w:rFonts w:ascii="Trebuchet MS" w:eastAsia="Times New Roman" w:hAnsi="Trebuchet MS" w:cs="Times New Roman"/>
          <w:i/>
          <w:iCs/>
          <w:color w:val="000000"/>
          <w:lang w:val="pl-PL"/>
        </w:rPr>
        <w:t>”</w:t>
      </w:r>
      <w:r w:rsidR="004C6938" w:rsidRPr="004C6938">
        <w:rPr>
          <w:rFonts w:ascii="Trebuchet MS" w:eastAsia="Times New Roman" w:hAnsi="Trebuchet MS" w:cs="Times New Roman"/>
          <w:color w:val="000000"/>
          <w:lang w:val="pl-PL"/>
        </w:rPr>
        <w:t xml:space="preserve"> –</w:t>
      </w:r>
      <w:r w:rsidR="004C6938">
        <w:rPr>
          <w:rFonts w:ascii="Trebuchet MS" w:eastAsia="Times New Roman" w:hAnsi="Trebuchet MS" w:cs="Times New Roman"/>
          <w:color w:val="000000"/>
          <w:lang w:val="pl-PL"/>
        </w:rPr>
        <w:t xml:space="preserve"> </w:t>
      </w:r>
      <w:r w:rsidR="001614F5" w:rsidRPr="004C6938">
        <w:rPr>
          <w:rFonts w:ascii="Trebuchet MS" w:eastAsia="Times New Roman" w:hAnsi="Trebuchet MS" w:cs="Times New Roman"/>
          <w:color w:val="000000"/>
          <w:lang w:val="pl-PL"/>
        </w:rPr>
        <w:t>mówi</w:t>
      </w:r>
      <w:r w:rsidR="004C6938">
        <w:rPr>
          <w:rFonts w:ascii="Trebuchet MS" w:eastAsia="Times New Roman" w:hAnsi="Trebuchet MS" w:cs="Times New Roman"/>
          <w:color w:val="000000"/>
          <w:lang w:val="pl-PL"/>
        </w:rPr>
        <w:t xml:space="preserve"> </w:t>
      </w:r>
      <w:r w:rsidR="001614F5" w:rsidRPr="004C6938">
        <w:rPr>
          <w:rFonts w:ascii="Trebuchet MS" w:eastAsia="Times New Roman" w:hAnsi="Trebuchet MS" w:cs="Times New Roman"/>
          <w:b/>
          <w:bCs/>
          <w:color w:val="000000"/>
          <w:lang w:val="pl-PL"/>
        </w:rPr>
        <w:t>Bartosz Berestecki, Prezes Zarządu PayTel</w:t>
      </w:r>
      <w:r w:rsidR="001614F5" w:rsidRPr="004C6938">
        <w:rPr>
          <w:rFonts w:ascii="Trebuchet MS" w:eastAsia="Times New Roman" w:hAnsi="Trebuchet MS" w:cs="Times New Roman"/>
          <w:color w:val="000000"/>
          <w:lang w:val="pl-PL"/>
        </w:rPr>
        <w:t>.</w:t>
      </w:r>
    </w:p>
    <w:p w14:paraId="5EAE4D3A" w14:textId="140570E1" w:rsidR="001614F5" w:rsidRPr="004C6938" w:rsidRDefault="001614F5" w:rsidP="004C6938">
      <w:pPr>
        <w:spacing w:after="240"/>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color w:val="000000"/>
          <w:lang w:val="pl-PL"/>
        </w:rPr>
        <w:t xml:space="preserve">Według wymienianych trendów w płatnościach bezgotówkowych na 2023 rok, spodziewany jest rozwój rozwiązań zapewniających transakcje </w:t>
      </w:r>
      <w:r w:rsidR="00EE220C" w:rsidRPr="004C6938">
        <w:rPr>
          <w:rFonts w:ascii="Trebuchet MS" w:eastAsia="Times New Roman" w:hAnsi="Trebuchet MS" w:cs="Times New Roman"/>
          <w:color w:val="000000"/>
          <w:lang w:val="pl-PL"/>
        </w:rPr>
        <w:t>natychmiastowe</w:t>
      </w:r>
      <w:r w:rsidRPr="004C6938">
        <w:rPr>
          <w:rFonts w:ascii="Trebuchet MS" w:eastAsia="Times New Roman" w:hAnsi="Trebuchet MS" w:cs="Times New Roman"/>
          <w:color w:val="000000"/>
          <w:lang w:val="pl-PL"/>
        </w:rPr>
        <w:t xml:space="preserve"> i ograniczających do minimum ruch po stronie konsumenta. Przyspieszoną transformację na zmaksymalizowanie płatności bezgotówkowych miało wprowadzenie przez ustawodawcę Polskiego Ładu, który wymógł na przedsiębiorcach, korzystających z kas fiskalnych, obowiązku przyjmowania płatności bezgotówkowych.</w:t>
      </w:r>
    </w:p>
    <w:p w14:paraId="1CCAD7F9" w14:textId="2FC821CF" w:rsidR="001614F5" w:rsidRPr="004C6938" w:rsidRDefault="001614F5" w:rsidP="004C6938">
      <w:pPr>
        <w:spacing w:after="240"/>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color w:val="000000"/>
          <w:lang w:val="pl-PL"/>
        </w:rPr>
        <w:t>Ubiegłoroczne zmiany legislacyjne to jednak dopiero początek - wkrótce przedsiębiorcy będą musieli zapewnić synchronizację terminali płatniczych z kasą fiskalną. Ma to nastąpić od 1 stycznia 2025 roku. </w:t>
      </w:r>
    </w:p>
    <w:p w14:paraId="32B68FDA" w14:textId="2BC5D346" w:rsidR="001614F5" w:rsidRPr="004C6938" w:rsidRDefault="002466C4" w:rsidP="004C6938">
      <w:pPr>
        <w:spacing w:after="240"/>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color w:val="000000"/>
          <w:lang w:val="pl-PL"/>
        </w:rPr>
        <w:t>„</w:t>
      </w:r>
      <w:r w:rsidR="001614F5" w:rsidRPr="004C6938">
        <w:rPr>
          <w:rFonts w:ascii="Trebuchet MS" w:eastAsia="Times New Roman" w:hAnsi="Trebuchet MS" w:cs="Times New Roman"/>
          <w:i/>
          <w:iCs/>
          <w:color w:val="000000"/>
          <w:lang w:val="pl-PL"/>
        </w:rPr>
        <w:t>Przedsiębiorcy mają jeszcze trochę czasu na wprowadzenie zmian, ale firmy już powinny się przygotowywać do tej integracji. Wszelkie opóźnienia czy zaniedbania wynikające z niepoprawnego stosowania przepisów, będą bowiem skutkowały dotkliwymi karami finansowymi dla przedsiębiorców</w:t>
      </w:r>
      <w:r w:rsidRPr="004C6938">
        <w:rPr>
          <w:rFonts w:ascii="Trebuchet MS" w:eastAsia="Times New Roman" w:hAnsi="Trebuchet MS" w:cs="Times New Roman"/>
          <w:i/>
          <w:iCs/>
          <w:color w:val="000000"/>
          <w:lang w:val="pl-PL"/>
        </w:rPr>
        <w:t>”</w:t>
      </w:r>
      <w:r w:rsidR="001614F5" w:rsidRPr="004C6938">
        <w:rPr>
          <w:rFonts w:ascii="Trebuchet MS" w:eastAsia="Times New Roman" w:hAnsi="Trebuchet MS" w:cs="Times New Roman"/>
          <w:color w:val="000000"/>
          <w:lang w:val="pl-PL"/>
        </w:rPr>
        <w:t xml:space="preserve"> </w:t>
      </w:r>
      <w:r w:rsidR="004C6938" w:rsidRPr="004C6938">
        <w:rPr>
          <w:rFonts w:ascii="Trebuchet MS" w:eastAsia="Times New Roman" w:hAnsi="Trebuchet MS" w:cs="Times New Roman"/>
          <w:color w:val="000000"/>
          <w:lang w:val="pl-PL"/>
        </w:rPr>
        <w:t>–</w:t>
      </w:r>
      <w:r w:rsidR="001614F5" w:rsidRPr="004C6938">
        <w:rPr>
          <w:rFonts w:ascii="Trebuchet MS" w:eastAsia="Times New Roman" w:hAnsi="Trebuchet MS" w:cs="Times New Roman"/>
          <w:color w:val="000000"/>
          <w:lang w:val="pl-PL"/>
        </w:rPr>
        <w:t xml:space="preserve"> dodaje </w:t>
      </w:r>
      <w:r w:rsidR="001614F5" w:rsidRPr="004C6938">
        <w:rPr>
          <w:rFonts w:ascii="Trebuchet MS" w:eastAsia="Times New Roman" w:hAnsi="Trebuchet MS" w:cs="Times New Roman"/>
          <w:b/>
          <w:bCs/>
          <w:color w:val="000000"/>
          <w:lang w:val="pl-PL"/>
        </w:rPr>
        <w:t>Bartosz Berestecki</w:t>
      </w:r>
      <w:r w:rsidR="001614F5" w:rsidRPr="004C6938">
        <w:rPr>
          <w:rFonts w:ascii="Trebuchet MS" w:eastAsia="Times New Roman" w:hAnsi="Trebuchet MS" w:cs="Times New Roman"/>
          <w:color w:val="000000"/>
          <w:lang w:val="pl-PL"/>
        </w:rPr>
        <w:t>. </w:t>
      </w:r>
    </w:p>
    <w:p w14:paraId="20B975A4" w14:textId="77777777" w:rsidR="001614F5" w:rsidRPr="004C6938" w:rsidRDefault="001614F5" w:rsidP="001614F5">
      <w:pPr>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b/>
          <w:bCs/>
          <w:color w:val="000000"/>
          <w:lang w:val="pl-PL"/>
        </w:rPr>
        <w:t>LightPOS - terminal w telefonie </w:t>
      </w:r>
    </w:p>
    <w:p w14:paraId="67FC3470" w14:textId="5F46EC6F" w:rsidR="001614F5" w:rsidRPr="004C6938" w:rsidRDefault="001614F5" w:rsidP="004C6938">
      <w:pPr>
        <w:spacing w:after="240"/>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color w:val="000000"/>
          <w:lang w:val="pl-PL"/>
        </w:rPr>
        <w:t>Z usługi terminala w telefonie, dostarczanej przez PayTel, można skorzystać po zainstalowaniu na urządzeniu mobilnym, posiadającym system operacyjny Android, dedykowanej aplikacji umożliwiającej przyjmowanie transakcji bezgotówkowo poprzez płatności bezstykowe, przy użyciu systemu NFC, kartami płatniczymi bądź zegarkiem. </w:t>
      </w:r>
    </w:p>
    <w:p w14:paraId="51749549" w14:textId="77777777" w:rsidR="001614F5" w:rsidRPr="004C6938" w:rsidRDefault="001614F5" w:rsidP="001614F5">
      <w:pPr>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color w:val="000000"/>
          <w:lang w:val="pl-PL"/>
        </w:rPr>
        <w:t>Rozwiązanie terminala w telefonie polecane jest w szczególności w:</w:t>
      </w:r>
    </w:p>
    <w:p w14:paraId="0090013E" w14:textId="77777777" w:rsidR="001614F5" w:rsidRPr="004C6938" w:rsidRDefault="001614F5" w:rsidP="001614F5">
      <w:pPr>
        <w:numPr>
          <w:ilvl w:val="0"/>
          <w:numId w:val="2"/>
        </w:numPr>
        <w:jc w:val="both"/>
        <w:textAlignment w:val="baseline"/>
        <w:rPr>
          <w:rFonts w:ascii="Trebuchet MS" w:eastAsia="Times New Roman" w:hAnsi="Trebuchet MS" w:cs="Times New Roman"/>
          <w:color w:val="000000"/>
          <w:lang w:val="pl-PL"/>
        </w:rPr>
      </w:pPr>
      <w:r w:rsidRPr="004C6938">
        <w:rPr>
          <w:rFonts w:ascii="Trebuchet MS" w:eastAsia="Times New Roman" w:hAnsi="Trebuchet MS" w:cs="Times New Roman"/>
          <w:color w:val="000000"/>
          <w:lang w:val="pl-PL"/>
        </w:rPr>
        <w:t>branży usługowej,</w:t>
      </w:r>
    </w:p>
    <w:p w14:paraId="2F8C5455" w14:textId="77777777" w:rsidR="001614F5" w:rsidRPr="004C6938" w:rsidRDefault="001614F5" w:rsidP="001614F5">
      <w:pPr>
        <w:numPr>
          <w:ilvl w:val="0"/>
          <w:numId w:val="2"/>
        </w:numPr>
        <w:jc w:val="both"/>
        <w:textAlignment w:val="baseline"/>
        <w:rPr>
          <w:rFonts w:ascii="Trebuchet MS" w:eastAsia="Times New Roman" w:hAnsi="Trebuchet MS" w:cs="Times New Roman"/>
          <w:color w:val="000000"/>
          <w:lang w:val="pl-PL"/>
        </w:rPr>
      </w:pPr>
      <w:r w:rsidRPr="004C6938">
        <w:rPr>
          <w:rFonts w:ascii="Trebuchet MS" w:eastAsia="Times New Roman" w:hAnsi="Trebuchet MS" w:cs="Times New Roman"/>
          <w:color w:val="000000"/>
          <w:lang w:val="pl-PL"/>
        </w:rPr>
        <w:t>branży kurierskiej,</w:t>
      </w:r>
    </w:p>
    <w:p w14:paraId="358C0C2F" w14:textId="77777777" w:rsidR="001614F5" w:rsidRPr="004C6938" w:rsidRDefault="001614F5" w:rsidP="001614F5">
      <w:pPr>
        <w:numPr>
          <w:ilvl w:val="0"/>
          <w:numId w:val="2"/>
        </w:numPr>
        <w:jc w:val="both"/>
        <w:textAlignment w:val="baseline"/>
        <w:rPr>
          <w:rFonts w:ascii="Trebuchet MS" w:eastAsia="Times New Roman" w:hAnsi="Trebuchet MS" w:cs="Times New Roman"/>
          <w:color w:val="000000"/>
          <w:lang w:val="pl-PL"/>
        </w:rPr>
      </w:pPr>
      <w:r w:rsidRPr="004C6938">
        <w:rPr>
          <w:rFonts w:ascii="Trebuchet MS" w:eastAsia="Times New Roman" w:hAnsi="Trebuchet MS" w:cs="Times New Roman"/>
          <w:color w:val="000000"/>
          <w:lang w:val="pl-PL"/>
        </w:rPr>
        <w:t>małych punktach mobilnych,</w:t>
      </w:r>
    </w:p>
    <w:p w14:paraId="58BC3B1B" w14:textId="77777777" w:rsidR="001614F5" w:rsidRPr="004C6938" w:rsidRDefault="001614F5" w:rsidP="001614F5">
      <w:pPr>
        <w:numPr>
          <w:ilvl w:val="0"/>
          <w:numId w:val="2"/>
        </w:numPr>
        <w:spacing w:after="160"/>
        <w:jc w:val="both"/>
        <w:textAlignment w:val="baseline"/>
        <w:rPr>
          <w:rFonts w:ascii="Trebuchet MS" w:eastAsia="Times New Roman" w:hAnsi="Trebuchet MS" w:cs="Times New Roman"/>
          <w:color w:val="000000"/>
          <w:lang w:val="pl-PL"/>
        </w:rPr>
      </w:pPr>
      <w:r w:rsidRPr="004C6938">
        <w:rPr>
          <w:rFonts w:ascii="Trebuchet MS" w:eastAsia="Times New Roman" w:hAnsi="Trebuchet MS" w:cs="Times New Roman"/>
          <w:color w:val="000000"/>
          <w:lang w:val="pl-PL"/>
        </w:rPr>
        <w:t>sektorze usług drobnych freelancerów.</w:t>
      </w:r>
    </w:p>
    <w:p w14:paraId="7CA83A1A" w14:textId="3EE94D85" w:rsidR="002466C4" w:rsidRPr="004C6938" w:rsidRDefault="001614F5" w:rsidP="004C6938">
      <w:pPr>
        <w:spacing w:after="240"/>
        <w:jc w:val="both"/>
        <w:rPr>
          <w:rFonts w:ascii="Trebuchet MS" w:eastAsia="Times New Roman" w:hAnsi="Trebuchet MS" w:cs="Times New Roman"/>
          <w:color w:val="000000"/>
          <w:lang w:val="pl-PL"/>
        </w:rPr>
      </w:pPr>
      <w:r w:rsidRPr="004C6938">
        <w:rPr>
          <w:rFonts w:ascii="Trebuchet MS" w:eastAsia="Times New Roman" w:hAnsi="Trebuchet MS" w:cs="Times New Roman"/>
          <w:color w:val="000000"/>
          <w:lang w:val="pl-PL"/>
        </w:rPr>
        <w:t xml:space="preserve">Utrzymanie takiego terminala nie jest obciążone żadnymi ukrytymi kosztami. Uczestnicząc w Programie Polska Bezgotówkowa użytkownik, po spełnieniu określonych warunków, może korzystać z aplikacji całkowicie za darmo przez 12 miesięcy lub do osiągnięcia obrotu 100 tys. zł. </w:t>
      </w:r>
    </w:p>
    <w:p w14:paraId="1BD3C824" w14:textId="0DDA55FA" w:rsidR="001614F5" w:rsidRPr="004C6938" w:rsidRDefault="001614F5" w:rsidP="001614F5">
      <w:pPr>
        <w:jc w:val="both"/>
        <w:rPr>
          <w:rFonts w:ascii="Times New Roman" w:eastAsia="Times New Roman" w:hAnsi="Times New Roman" w:cs="Times New Roman"/>
          <w:sz w:val="24"/>
          <w:szCs w:val="24"/>
          <w:lang w:val="pl-PL"/>
        </w:rPr>
      </w:pPr>
      <w:bookmarkStart w:id="1" w:name="_Hlk128131297"/>
      <w:r w:rsidRPr="004C6938">
        <w:rPr>
          <w:rFonts w:ascii="Trebuchet MS" w:eastAsia="Times New Roman" w:hAnsi="Trebuchet MS" w:cs="Times New Roman"/>
          <w:i/>
          <w:iCs/>
          <w:color w:val="000000"/>
          <w:lang w:val="pl-PL"/>
        </w:rPr>
        <w:t>„Abonament za korzystanie z aplikacji jest stały, a wszelkie opłaty transparentne.  To koszty niezbędne do zapewnienia należytego bezpieczeństwa dokonywanych transakcji i stałych prac administracyjnych nad aplikacją. W celu otrzymania pełnej oferty zapraszamy do kontaktu z nami. Nasi konsultanci odpowiedzą na wszelkie pytania”</w:t>
      </w:r>
      <w:r w:rsidRPr="004C6938">
        <w:rPr>
          <w:rFonts w:ascii="Trebuchet MS" w:eastAsia="Times New Roman" w:hAnsi="Trebuchet MS" w:cs="Times New Roman"/>
          <w:color w:val="000000"/>
          <w:lang w:val="pl-PL"/>
        </w:rPr>
        <w:t xml:space="preserve"> – tłumaczy </w:t>
      </w:r>
      <w:r w:rsidRPr="004C6938">
        <w:rPr>
          <w:rFonts w:ascii="Trebuchet MS" w:eastAsia="Times New Roman" w:hAnsi="Trebuchet MS" w:cs="Times New Roman"/>
          <w:b/>
          <w:bCs/>
          <w:color w:val="000000"/>
          <w:lang w:val="pl-PL"/>
        </w:rPr>
        <w:t>Natalia Krajewska, Deputy Manager w PayTel</w:t>
      </w:r>
      <w:r w:rsidRPr="004C6938">
        <w:rPr>
          <w:rFonts w:ascii="Trebuchet MS" w:eastAsia="Times New Roman" w:hAnsi="Trebuchet MS" w:cs="Times New Roman"/>
          <w:color w:val="000000"/>
          <w:lang w:val="pl-PL"/>
        </w:rPr>
        <w:t>.</w:t>
      </w:r>
    </w:p>
    <w:bookmarkEnd w:id="1"/>
    <w:p w14:paraId="6983D492" w14:textId="77777777" w:rsidR="004C6938" w:rsidRDefault="004C6938" w:rsidP="001614F5">
      <w:pPr>
        <w:jc w:val="both"/>
        <w:rPr>
          <w:rFonts w:ascii="Times New Roman" w:eastAsia="Times New Roman" w:hAnsi="Times New Roman" w:cs="Times New Roman"/>
          <w:sz w:val="24"/>
          <w:szCs w:val="24"/>
          <w:lang w:val="pl-PL"/>
        </w:rPr>
      </w:pPr>
    </w:p>
    <w:p w14:paraId="5E1638B4" w14:textId="704A3298" w:rsidR="001614F5" w:rsidRPr="004C6938" w:rsidRDefault="001614F5" w:rsidP="001614F5">
      <w:pPr>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b/>
          <w:bCs/>
          <w:color w:val="000000"/>
          <w:lang w:val="pl-PL"/>
        </w:rPr>
        <w:lastRenderedPageBreak/>
        <w:t>Jak zamienić swój smartfon lub tablet w terminal? </w:t>
      </w:r>
    </w:p>
    <w:p w14:paraId="71A07CFB" w14:textId="017EDFDA" w:rsidR="001614F5" w:rsidRPr="004C6938" w:rsidRDefault="001614F5" w:rsidP="004C6938">
      <w:pPr>
        <w:spacing w:after="240"/>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color w:val="000000"/>
          <w:lang w:val="pl-PL"/>
        </w:rPr>
        <w:t>Po dokonaniu krótkich formalności, polegających na wypełnieniu formularza online, umowa automatycznie zostaje podpisana. Po pozytywnej weryfikacji przez operatora płatności, należy pobrać aplikację, a następnie aktywować konto. Natychmiast można zacząć korzystać z wygodnych płatności elektronicznych, w każdym miejscu i o każdej porze.</w:t>
      </w:r>
    </w:p>
    <w:p w14:paraId="34E79FCC" w14:textId="77777777" w:rsidR="001614F5" w:rsidRPr="004C6938" w:rsidRDefault="001614F5" w:rsidP="001614F5">
      <w:pPr>
        <w:jc w:val="both"/>
        <w:rPr>
          <w:rFonts w:ascii="Times New Roman" w:eastAsia="Times New Roman" w:hAnsi="Times New Roman" w:cs="Times New Roman"/>
          <w:sz w:val="24"/>
          <w:szCs w:val="24"/>
          <w:lang w:val="pl-PL"/>
        </w:rPr>
      </w:pPr>
      <w:bookmarkStart w:id="2" w:name="_Hlk128131469"/>
      <w:r w:rsidRPr="004C6938">
        <w:rPr>
          <w:rFonts w:ascii="Trebuchet MS" w:eastAsia="Times New Roman" w:hAnsi="Trebuchet MS" w:cs="Times New Roman"/>
          <w:color w:val="000000"/>
          <w:lang w:val="pl-PL"/>
        </w:rPr>
        <w:t>Płatności przyjmowane za pomocą aplikacji zainstalowanej w telefonie działają analogicznie, jak przy użyciu tradycyjnego terminala. Należy uruchomić aplikację, wpisać kwotę sprzedaży, a następnie poprosić klienta o przyłożenie urządzenia płatniczego z wbudowaną anteną NFC (karty, zegarka, smartfonu) w celu dokonania płatności. Potwierdzeniem zrealizowanej transakcji jest elektroniczny rachunek, który można wysłać klientowi e-mailem lub smsem, a w niedługiej przyszłości aplikacja będzie mogła również wyświetlić QR kod. Po jego zeskanowaniu potwierdzenie płatności zostanie automatycznie wyświetlone na urządzeniu płatnika.</w:t>
      </w:r>
    </w:p>
    <w:bookmarkEnd w:id="2"/>
    <w:p w14:paraId="14719079" w14:textId="72B572B5" w:rsidR="001614F5" w:rsidRPr="004C6938" w:rsidRDefault="001614F5" w:rsidP="004C6938">
      <w:pPr>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b/>
          <w:bCs/>
          <w:noProof/>
          <w:color w:val="000000"/>
          <w:bdr w:val="none" w:sz="0" w:space="0" w:color="auto" w:frame="1"/>
          <w:lang w:val="pl-PL"/>
        </w:rPr>
        <w:drawing>
          <wp:inline distT="0" distB="0" distL="0" distR="0" wp14:anchorId="27AF9A7D" wp14:editId="16C67AF7">
            <wp:extent cx="5732780" cy="3763010"/>
            <wp:effectExtent l="0" t="0" r="1270" b="8890"/>
            <wp:docPr id="3" name="Obraz 3" descr="https://lh6.googleusercontent.com/TuGGXyfd2Yq5bJEXaHxvIQ3QASoHaFC4zDHYHFLa8EIVuTmk_3c3v13qd7st_1SRdyHm5Ghs1veiS95QnFvYSgcNU8rQmOnsLDO8S1ipNHHYastWu4XlyQBAm2k03RbFQPNatcAdxqi9qIjznWavv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uGGXyfd2Yq5bJEXaHxvIQ3QASoHaFC4zDHYHFLa8EIVuTmk_3c3v13qd7st_1SRdyHm5Ghs1veiS95QnFvYSgcNU8rQmOnsLDO8S1ipNHHYastWu4XlyQBAm2k03RbFQPNatcAdxqi9qIjznWavvX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3763010"/>
                    </a:xfrm>
                    <a:prstGeom prst="rect">
                      <a:avLst/>
                    </a:prstGeom>
                    <a:noFill/>
                    <a:ln>
                      <a:noFill/>
                    </a:ln>
                  </pic:spPr>
                </pic:pic>
              </a:graphicData>
            </a:graphic>
          </wp:inline>
        </w:drawing>
      </w:r>
    </w:p>
    <w:p w14:paraId="63C03278" w14:textId="77777777" w:rsidR="001614F5" w:rsidRPr="004C6938" w:rsidRDefault="001614F5" w:rsidP="001614F5">
      <w:pPr>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b/>
          <w:bCs/>
          <w:color w:val="000000"/>
          <w:lang w:val="pl-PL"/>
        </w:rPr>
        <w:t>Dlaczego LightPOS?</w:t>
      </w:r>
    </w:p>
    <w:p w14:paraId="1001DD01" w14:textId="594E4B0B" w:rsidR="001614F5" w:rsidRPr="004C6938" w:rsidRDefault="001614F5" w:rsidP="004C6938">
      <w:pPr>
        <w:spacing w:after="240"/>
        <w:jc w:val="both"/>
        <w:rPr>
          <w:rFonts w:ascii="Times New Roman" w:eastAsia="Times New Roman" w:hAnsi="Times New Roman" w:cs="Times New Roman"/>
          <w:sz w:val="24"/>
          <w:szCs w:val="24"/>
          <w:lang w:val="pl-PL"/>
        </w:rPr>
      </w:pPr>
      <w:r w:rsidRPr="004C6938">
        <w:rPr>
          <w:rFonts w:ascii="Trebuchet MS" w:eastAsia="Times New Roman" w:hAnsi="Trebuchet MS" w:cs="Times New Roman"/>
          <w:color w:val="000000"/>
          <w:lang w:val="pl-PL"/>
        </w:rPr>
        <w:t>Korzystanie z terminala w telefonie może przynieść przedsiębiorcom wiele korzyści. Przede wszystkim zastępuje on tradycyjny terminal, więc nie trzeba posiadać dodatkowego urządzenia w firmie lub inwestować w zakup kolejnych w przypadku rozwijania punktów sprzedaży. Ponadto terminal w telefonie pozwala przyjmować płatności o każdej porze i w każdym miejscu, również poza siedzibą firmy. Można zatem zabrać go ze sobą - wszędzie tam, gdzie akurat prowadzona jest działalność - jak np. eventy czy festiwale. Urządzenie sprawdza się szczególnie w branżach, które wymagają dojazdu do klienta, nie mają stałego biura lub dostarczają towar</w:t>
      </w:r>
      <w:r w:rsidR="004C6938">
        <w:rPr>
          <w:rFonts w:ascii="Trebuchet MS" w:eastAsia="Times New Roman" w:hAnsi="Trebuchet MS" w:cs="Times New Roman"/>
          <w:color w:val="000000"/>
          <w:lang w:val="pl-PL"/>
        </w:rPr>
        <w:t>.</w:t>
      </w:r>
    </w:p>
    <w:p w14:paraId="52CF0718" w14:textId="32189BFE" w:rsidR="004C6938" w:rsidRPr="004C6938" w:rsidRDefault="001614F5" w:rsidP="004C6938">
      <w:pPr>
        <w:spacing w:after="240"/>
        <w:jc w:val="both"/>
        <w:rPr>
          <w:rFonts w:ascii="Trebuchet MS" w:eastAsia="Times New Roman" w:hAnsi="Trebuchet MS" w:cs="Times New Roman"/>
          <w:color w:val="000000"/>
          <w:lang w:val="pl-PL"/>
        </w:rPr>
      </w:pPr>
      <w:r w:rsidRPr="004C6938">
        <w:rPr>
          <w:rFonts w:ascii="Trebuchet MS" w:eastAsia="Times New Roman" w:hAnsi="Trebuchet MS" w:cs="Times New Roman"/>
          <w:color w:val="000000"/>
          <w:lang w:val="pl-PL"/>
        </w:rPr>
        <w:t xml:space="preserve">LightPOS posiada najwyższe standardy zabezpieczeń aplikacji oraz certyfikaty Organizacji Płatniczych VISA i Mastercard, które potwierdzą dojrzałość PayTel w obszarze Cybersecurity, kompetencje oraz wysoki poziom bezpieczeństwa w obszarze danych kartowych. Rozwiązanie to jest zgodne z Visa Sensory </w:t>
      </w:r>
      <w:r w:rsidRPr="004C6938">
        <w:rPr>
          <w:rFonts w:ascii="Trebuchet MS" w:eastAsia="Times New Roman" w:hAnsi="Trebuchet MS" w:cs="Times New Roman"/>
          <w:color w:val="000000"/>
          <w:lang w:val="pl-PL"/>
        </w:rPr>
        <w:lastRenderedPageBreak/>
        <w:t>Branding i Mastercard Sonic, co daje kupującym, jak i przedsiębiorcom, poczucie pewności i bezpieczeństwa podczas dokonywania płatności zbliżeniowych.</w:t>
      </w:r>
    </w:p>
    <w:p w14:paraId="416FFC46" w14:textId="1497889A" w:rsidR="00F52159" w:rsidRPr="004C6938" w:rsidRDefault="00CF2EDD" w:rsidP="00E5480C">
      <w:pPr>
        <w:spacing w:line="276" w:lineRule="auto"/>
        <w:jc w:val="both"/>
        <w:rPr>
          <w:rFonts w:ascii="Trebuchet MS" w:eastAsia="Arial" w:hAnsi="Trebuchet MS" w:cs="Arial"/>
          <w:b/>
          <w:bCs/>
          <w:sz w:val="18"/>
          <w:szCs w:val="18"/>
          <w:lang w:val="pl-PL"/>
        </w:rPr>
      </w:pPr>
      <w:r w:rsidRPr="004C6938">
        <w:rPr>
          <w:rFonts w:ascii="Trebuchet MS" w:eastAsia="Arial" w:hAnsi="Trebuchet MS" w:cs="Arial"/>
          <w:b/>
          <w:bCs/>
          <w:sz w:val="18"/>
          <w:szCs w:val="18"/>
          <w:lang w:val="pl-PL"/>
        </w:rPr>
        <w:t xml:space="preserve">O </w:t>
      </w:r>
      <w:r w:rsidR="00BA021A" w:rsidRPr="004C6938">
        <w:rPr>
          <w:rFonts w:ascii="Trebuchet MS" w:eastAsia="Arial" w:hAnsi="Trebuchet MS" w:cs="Arial"/>
          <w:b/>
          <w:bCs/>
          <w:sz w:val="18"/>
          <w:szCs w:val="18"/>
          <w:lang w:val="pl-PL"/>
        </w:rPr>
        <w:t>PayTel</w:t>
      </w:r>
      <w:r w:rsidRPr="004C6938">
        <w:rPr>
          <w:rFonts w:ascii="Trebuchet MS" w:eastAsia="Arial" w:hAnsi="Trebuchet MS" w:cs="Arial"/>
          <w:b/>
          <w:bCs/>
          <w:sz w:val="18"/>
          <w:szCs w:val="18"/>
          <w:lang w:val="pl-PL"/>
        </w:rPr>
        <w:t>:</w:t>
      </w:r>
    </w:p>
    <w:p w14:paraId="44F3AD38" w14:textId="4FBA008B" w:rsidR="000A5CC8" w:rsidRPr="004C6938" w:rsidRDefault="00BA021A" w:rsidP="00AF4301">
      <w:pPr>
        <w:pStyle w:val="has-text-align-center"/>
        <w:shd w:val="clear" w:color="auto" w:fill="FFFFFF"/>
        <w:spacing w:before="0" w:beforeAutospacing="0" w:line="276" w:lineRule="auto"/>
        <w:jc w:val="both"/>
        <w:rPr>
          <w:sz w:val="18"/>
          <w:szCs w:val="18"/>
        </w:rPr>
      </w:pPr>
      <w:r w:rsidRPr="004C6938">
        <w:rPr>
          <w:rFonts w:asciiTheme="minorHAnsi" w:hAnsiTheme="minorHAnsi" w:cstheme="minorHAnsi"/>
          <w:color w:val="000000"/>
          <w:sz w:val="18"/>
          <w:szCs w:val="18"/>
        </w:rPr>
        <w:t xml:space="preserve">Jako wiodący na polskim rynku dostawca usług płatniczych, działa w omnichannel, dostosowując swoją ofertę do aktualnych potrzeb biznesu. Specjalizacją marki są płatności bezgotówkowe, dokonywane za pomocą kart płatniczych i płatności mobilnych oraz zarządzanie siecią terminali POS. PayTel wraz z grupą SIBS (której jest częścią) i Partnerami biznesowymi oferuje rozwiązania również w zakresie płatności elektronicznych i online, w tym te dokonywane z pomocą bramki e-commerce i płatności QR. Łącząc ze sobą innowacyjne rozwiązania i najwyższą jakość oferowanych usług, PayTel zapewnia swoim Klientom stabilną i bezpieczną współpracę. </w:t>
      </w:r>
      <w:r w:rsidRPr="004C6938">
        <w:rPr>
          <w:rFonts w:asciiTheme="minorHAnsi" w:hAnsiTheme="minorHAnsi" w:cstheme="minorHAnsi"/>
          <w:bCs/>
          <w:sz w:val="18"/>
          <w:szCs w:val="18"/>
        </w:rPr>
        <w:t>P</w:t>
      </w:r>
      <w:r w:rsidRPr="004C6938">
        <w:rPr>
          <w:rFonts w:asciiTheme="minorHAnsi" w:hAnsiTheme="minorHAnsi" w:cstheme="minorHAnsi"/>
          <w:color w:val="000000"/>
          <w:sz w:val="18"/>
          <w:szCs w:val="18"/>
        </w:rPr>
        <w:t>ayTel jest częścią grupy kapitałowej SIBS, jednego z</w:t>
      </w:r>
      <w:r w:rsidR="00D73393" w:rsidRPr="004C6938">
        <w:rPr>
          <w:rFonts w:asciiTheme="minorHAnsi" w:hAnsiTheme="minorHAnsi" w:cstheme="minorHAnsi"/>
          <w:color w:val="000000"/>
          <w:sz w:val="18"/>
          <w:szCs w:val="18"/>
        </w:rPr>
        <w:t> największych procesorów płatniczych w Europie.</w:t>
      </w:r>
    </w:p>
    <w:p w14:paraId="65D691A4" w14:textId="77777777" w:rsidR="00384EC5" w:rsidRPr="00E76A39" w:rsidRDefault="00384EC5" w:rsidP="00384EC5">
      <w:pPr>
        <w:spacing w:line="276" w:lineRule="auto"/>
        <w:jc w:val="both"/>
        <w:rPr>
          <w:b/>
          <w:sz w:val="18"/>
          <w:szCs w:val="18"/>
        </w:rPr>
      </w:pPr>
      <w:proofErr w:type="spellStart"/>
      <w:r w:rsidRPr="00E76A39">
        <w:rPr>
          <w:b/>
          <w:sz w:val="18"/>
          <w:szCs w:val="18"/>
        </w:rPr>
        <w:t>Kontakt</w:t>
      </w:r>
      <w:proofErr w:type="spellEnd"/>
      <w:r w:rsidRPr="00E76A39">
        <w:rPr>
          <w:b/>
          <w:sz w:val="18"/>
          <w:szCs w:val="18"/>
        </w:rPr>
        <w:t>:</w:t>
      </w:r>
    </w:p>
    <w:p w14:paraId="739E3829" w14:textId="77777777" w:rsidR="00384EC5" w:rsidRPr="00E76A39" w:rsidRDefault="00384EC5" w:rsidP="00384EC5">
      <w:pPr>
        <w:spacing w:line="276" w:lineRule="auto"/>
        <w:jc w:val="both"/>
        <w:rPr>
          <w:sz w:val="18"/>
          <w:szCs w:val="18"/>
        </w:rPr>
      </w:pPr>
      <w:r w:rsidRPr="00E76A39">
        <w:rPr>
          <w:sz w:val="18"/>
          <w:szCs w:val="18"/>
        </w:rPr>
        <w:t xml:space="preserve">Anna </w:t>
      </w:r>
      <w:proofErr w:type="spellStart"/>
      <w:r w:rsidRPr="00E76A39">
        <w:rPr>
          <w:sz w:val="18"/>
          <w:szCs w:val="18"/>
        </w:rPr>
        <w:t>Gajewska</w:t>
      </w:r>
      <w:proofErr w:type="spellEnd"/>
      <w:r w:rsidRPr="00E76A39">
        <w:rPr>
          <w:sz w:val="18"/>
          <w:szCs w:val="18"/>
        </w:rPr>
        <w:t xml:space="preserve">, Senior PR Consultant, PR Calling </w:t>
      </w:r>
    </w:p>
    <w:p w14:paraId="6FCCD694" w14:textId="23344371" w:rsidR="000A5CC8" w:rsidRPr="004C6938" w:rsidRDefault="00384EC5" w:rsidP="00E5480C">
      <w:pPr>
        <w:spacing w:line="276" w:lineRule="auto"/>
        <w:jc w:val="both"/>
        <w:rPr>
          <w:sz w:val="18"/>
          <w:szCs w:val="18"/>
          <w:lang w:val="pl-PL"/>
        </w:rPr>
      </w:pPr>
      <w:r w:rsidRPr="004C6938">
        <w:rPr>
          <w:sz w:val="18"/>
          <w:szCs w:val="18"/>
          <w:lang w:val="pl-PL"/>
        </w:rPr>
        <w:t>anna.gajewska@prcalling.pl; +48 669 97 86 86</w:t>
      </w:r>
    </w:p>
    <w:sectPr w:rsidR="000A5CC8" w:rsidRPr="004C6938">
      <w:headerReference w:type="even" r:id="rId9"/>
      <w:headerReference w:type="default" r:id="rId10"/>
      <w:footerReference w:type="default" r:id="rId11"/>
      <w:headerReference w:type="first" r:id="rId12"/>
      <w:pgSz w:w="11906" w:h="16838"/>
      <w:pgMar w:top="1418" w:right="794" w:bottom="1418" w:left="794" w:header="1531" w:footer="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F526" w14:textId="77777777" w:rsidR="00450B2E" w:rsidRDefault="00450B2E">
      <w:r>
        <w:separator/>
      </w:r>
    </w:p>
  </w:endnote>
  <w:endnote w:type="continuationSeparator" w:id="0">
    <w:p w14:paraId="71401386" w14:textId="77777777" w:rsidR="00450B2E" w:rsidRDefault="0045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6D7F" w14:textId="77777777" w:rsidR="002A170C" w:rsidRDefault="002A170C">
    <w:pPr>
      <w:spacing w:before="120" w:after="360"/>
      <w:ind w:right="-57"/>
    </w:pPr>
  </w:p>
  <w:p w14:paraId="1821926E" w14:textId="77777777" w:rsidR="002A170C" w:rsidRPr="00573CE7" w:rsidRDefault="00FE4CB5">
    <w:pPr>
      <w:pBdr>
        <w:top w:val="nil"/>
        <w:left w:val="nil"/>
        <w:bottom w:val="nil"/>
        <w:right w:val="nil"/>
        <w:between w:val="nil"/>
      </w:pBdr>
      <w:tabs>
        <w:tab w:val="center" w:pos="4536"/>
        <w:tab w:val="right" w:pos="9072"/>
      </w:tabs>
      <w:ind w:left="3119"/>
      <w:rPr>
        <w:rFonts w:ascii="Trebuchet MS" w:eastAsia="Trebuchet MS" w:hAnsi="Trebuchet MS" w:cs="Trebuchet MS"/>
        <w:color w:val="6E6E6E"/>
        <w:sz w:val="16"/>
        <w:szCs w:val="16"/>
        <w:lang w:val="pl-PL"/>
      </w:rPr>
    </w:pPr>
    <w:r w:rsidRPr="00573CE7">
      <w:rPr>
        <w:rFonts w:ascii="Trebuchet MS" w:eastAsia="Trebuchet MS" w:hAnsi="Trebuchet MS" w:cs="Trebuchet MS"/>
        <w:b/>
        <w:color w:val="6E6E6E"/>
        <w:sz w:val="14"/>
        <w:szCs w:val="14"/>
        <w:lang w:val="pl-PL"/>
      </w:rPr>
      <w:t>PayTel S.A.</w:t>
    </w:r>
    <w:r w:rsidRPr="00573CE7">
      <w:rPr>
        <w:rFonts w:ascii="Trebuchet MS" w:eastAsia="Trebuchet MS" w:hAnsi="Trebuchet MS" w:cs="Trebuchet MS"/>
        <w:color w:val="6E6E6E"/>
        <w:sz w:val="14"/>
        <w:szCs w:val="14"/>
        <w:lang w:val="pl-PL"/>
      </w:rPr>
      <w:t xml:space="preserve">   |   www.paytel.pl   |   </w:t>
    </w:r>
    <w:hyperlink r:id="rId1">
      <w:r w:rsidRPr="00573CE7">
        <w:rPr>
          <w:rFonts w:ascii="Trebuchet MS" w:eastAsia="Trebuchet MS" w:hAnsi="Trebuchet MS" w:cs="Trebuchet MS"/>
          <w:color w:val="6E6E6E"/>
          <w:sz w:val="14"/>
          <w:szCs w:val="14"/>
          <w:u w:val="single"/>
          <w:lang w:val="pl-PL"/>
        </w:rPr>
        <w:t>paytel@paytel.pl</w:t>
      </w:r>
    </w:hyperlink>
    <w:r w:rsidRPr="00573CE7">
      <w:rPr>
        <w:rFonts w:ascii="Trebuchet MS" w:eastAsia="Trebuchet MS" w:hAnsi="Trebuchet MS" w:cs="Trebuchet MS"/>
        <w:color w:val="6E6E6E"/>
        <w:sz w:val="14"/>
        <w:szCs w:val="14"/>
        <w:lang w:val="pl-PL"/>
      </w:rPr>
      <w:t xml:space="preserve">   |   T: (+48 22) 581 96 00   |   F: (+48 22) 581 96 01</w:t>
    </w:r>
    <w:r w:rsidRPr="00573CE7">
      <w:rPr>
        <w:rFonts w:ascii="Trebuchet MS" w:eastAsia="Trebuchet MS" w:hAnsi="Trebuchet MS" w:cs="Trebuchet MS"/>
        <w:color w:val="6E6E6E"/>
        <w:sz w:val="14"/>
        <w:szCs w:val="14"/>
        <w:lang w:val="pl-PL"/>
      </w:rPr>
      <w:br/>
      <w:t>ul: Żwirki i Wigury 14, 02-092 Warszawa |   NIP: 527-26-06-618   |   REGON: 141802150   |   KRS: 0000332228</w:t>
    </w:r>
    <w:r w:rsidRPr="00573CE7">
      <w:rPr>
        <w:rFonts w:ascii="Trebuchet MS" w:eastAsia="Trebuchet MS" w:hAnsi="Trebuchet MS" w:cs="Trebuchet MS"/>
        <w:color w:val="6E6E6E"/>
        <w:sz w:val="14"/>
        <w:szCs w:val="14"/>
        <w:lang w:val="pl-PL"/>
      </w:rPr>
      <w:br/>
    </w:r>
    <w:r w:rsidRPr="00573CE7">
      <w:rPr>
        <w:rFonts w:ascii="Trebuchet MS" w:eastAsia="Trebuchet MS" w:hAnsi="Trebuchet MS" w:cs="Trebuchet MS"/>
        <w:color w:val="6E6E6E"/>
        <w:sz w:val="14"/>
        <w:szCs w:val="14"/>
        <w:lang w:val="pl-PL"/>
      </w:rPr>
      <w:br/>
    </w:r>
    <w:r w:rsidRPr="00573CE7">
      <w:rPr>
        <w:rFonts w:ascii="Trebuchet MS" w:eastAsia="Trebuchet MS" w:hAnsi="Trebuchet MS" w:cs="Trebuchet MS"/>
        <w:color w:val="6E6E6E"/>
        <w:sz w:val="12"/>
        <w:szCs w:val="12"/>
        <w:lang w:val="pl-PL"/>
      </w:rPr>
      <w:t xml:space="preserve">Sąd Rejonowy dla m. st. W-wy w W-wie, XIII Wydział </w:t>
    </w:r>
    <w:proofErr w:type="gramStart"/>
    <w:r w:rsidRPr="00573CE7">
      <w:rPr>
        <w:rFonts w:ascii="Trebuchet MS" w:eastAsia="Trebuchet MS" w:hAnsi="Trebuchet MS" w:cs="Trebuchet MS"/>
        <w:color w:val="6E6E6E"/>
        <w:sz w:val="12"/>
        <w:szCs w:val="12"/>
        <w:lang w:val="pl-PL"/>
      </w:rPr>
      <w:t>Gospodarczy  |</w:t>
    </w:r>
    <w:proofErr w:type="gramEnd"/>
    <w:r w:rsidRPr="00573CE7">
      <w:rPr>
        <w:rFonts w:ascii="Trebuchet MS" w:eastAsia="Trebuchet MS" w:hAnsi="Trebuchet MS" w:cs="Trebuchet MS"/>
        <w:color w:val="6E6E6E"/>
        <w:sz w:val="12"/>
        <w:szCs w:val="12"/>
        <w:lang w:val="pl-PL"/>
      </w:rPr>
      <w:t xml:space="preserve">   Kapitał Zakładowy: 74.999.916 PLN opłacony w całości</w:t>
    </w:r>
  </w:p>
  <w:p w14:paraId="5AFB5203" w14:textId="77777777" w:rsidR="002A170C" w:rsidRPr="00573CE7" w:rsidRDefault="002A170C">
    <w:pPr>
      <w:pBdr>
        <w:top w:val="nil"/>
        <w:left w:val="nil"/>
        <w:bottom w:val="nil"/>
        <w:right w:val="nil"/>
        <w:between w:val="nil"/>
      </w:pBdr>
      <w:tabs>
        <w:tab w:val="center" w:pos="4536"/>
        <w:tab w:val="right" w:pos="9072"/>
      </w:tabs>
      <w:jc w:val="center"/>
      <w:rPr>
        <w:rFonts w:ascii="Trebuchet MS" w:eastAsia="Trebuchet MS" w:hAnsi="Trebuchet MS" w:cs="Trebuchet MS"/>
        <w:color w:val="000000"/>
        <w:lang w:val="pl-PL"/>
      </w:rPr>
    </w:pPr>
  </w:p>
  <w:p w14:paraId="768624F0" w14:textId="77777777" w:rsidR="002A170C" w:rsidRPr="00573CE7" w:rsidRDefault="002A170C">
    <w:pPr>
      <w:pBdr>
        <w:top w:val="nil"/>
        <w:left w:val="nil"/>
        <w:bottom w:val="nil"/>
        <w:right w:val="nil"/>
        <w:between w:val="nil"/>
      </w:pBdr>
      <w:tabs>
        <w:tab w:val="center" w:pos="4536"/>
        <w:tab w:val="right" w:pos="9072"/>
      </w:tabs>
      <w:jc w:val="center"/>
      <w:rPr>
        <w:rFonts w:ascii="Trebuchet MS" w:eastAsia="Trebuchet MS" w:hAnsi="Trebuchet MS" w:cs="Trebuchet MS"/>
        <w:color w:val="808080"/>
        <w:sz w:val="12"/>
        <w:szCs w:val="12"/>
        <w:lang w:val="pl-PL"/>
      </w:rPr>
    </w:pPr>
  </w:p>
  <w:p w14:paraId="134401F4" w14:textId="77777777" w:rsidR="002A170C" w:rsidRDefault="00FE4CB5">
    <w:pPr>
      <w:pBdr>
        <w:top w:val="nil"/>
        <w:left w:val="nil"/>
        <w:bottom w:val="nil"/>
        <w:right w:val="nil"/>
        <w:between w:val="nil"/>
      </w:pBdr>
      <w:tabs>
        <w:tab w:val="center" w:pos="4536"/>
        <w:tab w:val="right" w:pos="9072"/>
      </w:tabs>
      <w:jc w:val="center"/>
      <w:rPr>
        <w:color w:val="000000"/>
        <w:sz w:val="12"/>
        <w:szCs w:val="12"/>
      </w:rPr>
    </w:pPr>
    <w:proofErr w:type="spellStart"/>
    <w:r>
      <w:rPr>
        <w:rFonts w:ascii="Trebuchet MS" w:eastAsia="Trebuchet MS" w:hAnsi="Trebuchet MS" w:cs="Trebuchet MS"/>
        <w:color w:val="808080"/>
        <w:sz w:val="12"/>
        <w:szCs w:val="12"/>
      </w:rPr>
      <w:t>Strona</w:t>
    </w:r>
    <w:proofErr w:type="spellEnd"/>
    <w:r>
      <w:rPr>
        <w:rFonts w:ascii="Trebuchet MS" w:eastAsia="Trebuchet MS" w:hAnsi="Trebuchet MS" w:cs="Trebuchet MS"/>
        <w:color w:val="808080"/>
        <w:sz w:val="12"/>
        <w:szCs w:val="12"/>
      </w:rPr>
      <w:t xml:space="preserve"> </w:t>
    </w:r>
    <w:r>
      <w:rPr>
        <w:rFonts w:ascii="Trebuchet MS" w:eastAsia="Trebuchet MS" w:hAnsi="Trebuchet MS" w:cs="Trebuchet MS"/>
        <w:b/>
        <w:color w:val="808080"/>
        <w:sz w:val="12"/>
        <w:szCs w:val="12"/>
      </w:rPr>
      <w:fldChar w:fldCharType="begin"/>
    </w:r>
    <w:r>
      <w:rPr>
        <w:rFonts w:ascii="Trebuchet MS" w:eastAsia="Trebuchet MS" w:hAnsi="Trebuchet MS" w:cs="Trebuchet MS"/>
        <w:b/>
        <w:color w:val="808080"/>
        <w:sz w:val="12"/>
        <w:szCs w:val="12"/>
      </w:rPr>
      <w:instrText>PAGE</w:instrText>
    </w:r>
    <w:r>
      <w:rPr>
        <w:rFonts w:ascii="Trebuchet MS" w:eastAsia="Trebuchet MS" w:hAnsi="Trebuchet MS" w:cs="Trebuchet MS"/>
        <w:b/>
        <w:color w:val="808080"/>
        <w:sz w:val="12"/>
        <w:szCs w:val="12"/>
      </w:rPr>
      <w:fldChar w:fldCharType="separate"/>
    </w:r>
    <w:r w:rsidR="008506E5">
      <w:rPr>
        <w:rFonts w:ascii="Trebuchet MS" w:eastAsia="Trebuchet MS" w:hAnsi="Trebuchet MS" w:cs="Trebuchet MS"/>
        <w:b/>
        <w:noProof/>
        <w:color w:val="808080"/>
        <w:sz w:val="12"/>
        <w:szCs w:val="12"/>
      </w:rPr>
      <w:t>2</w:t>
    </w:r>
    <w:r>
      <w:rPr>
        <w:rFonts w:ascii="Trebuchet MS" w:eastAsia="Trebuchet MS" w:hAnsi="Trebuchet MS" w:cs="Trebuchet MS"/>
        <w:b/>
        <w:color w:val="808080"/>
        <w:sz w:val="12"/>
        <w:szCs w:val="12"/>
      </w:rPr>
      <w:fldChar w:fldCharType="end"/>
    </w:r>
    <w:r>
      <w:rPr>
        <w:rFonts w:ascii="Trebuchet MS" w:eastAsia="Trebuchet MS" w:hAnsi="Trebuchet MS" w:cs="Trebuchet MS"/>
        <w:color w:val="808080"/>
        <w:sz w:val="12"/>
        <w:szCs w:val="12"/>
      </w:rPr>
      <w:t xml:space="preserve"> z </w:t>
    </w:r>
    <w:r>
      <w:rPr>
        <w:rFonts w:ascii="Trebuchet MS" w:eastAsia="Trebuchet MS" w:hAnsi="Trebuchet MS" w:cs="Trebuchet MS"/>
        <w:b/>
        <w:color w:val="808080"/>
        <w:sz w:val="12"/>
        <w:szCs w:val="12"/>
      </w:rPr>
      <w:fldChar w:fldCharType="begin"/>
    </w:r>
    <w:r>
      <w:rPr>
        <w:rFonts w:ascii="Trebuchet MS" w:eastAsia="Trebuchet MS" w:hAnsi="Trebuchet MS" w:cs="Trebuchet MS"/>
        <w:b/>
        <w:color w:val="808080"/>
        <w:sz w:val="12"/>
        <w:szCs w:val="12"/>
      </w:rPr>
      <w:instrText>NUMPAGES</w:instrText>
    </w:r>
    <w:r>
      <w:rPr>
        <w:rFonts w:ascii="Trebuchet MS" w:eastAsia="Trebuchet MS" w:hAnsi="Trebuchet MS" w:cs="Trebuchet MS"/>
        <w:b/>
        <w:color w:val="808080"/>
        <w:sz w:val="12"/>
        <w:szCs w:val="12"/>
      </w:rPr>
      <w:fldChar w:fldCharType="separate"/>
    </w:r>
    <w:r w:rsidR="008506E5">
      <w:rPr>
        <w:rFonts w:ascii="Trebuchet MS" w:eastAsia="Trebuchet MS" w:hAnsi="Trebuchet MS" w:cs="Trebuchet MS"/>
        <w:b/>
        <w:noProof/>
        <w:color w:val="808080"/>
        <w:sz w:val="12"/>
        <w:szCs w:val="12"/>
      </w:rPr>
      <w:t>2</w:t>
    </w:r>
    <w:r>
      <w:rPr>
        <w:rFonts w:ascii="Trebuchet MS" w:eastAsia="Trebuchet MS" w:hAnsi="Trebuchet MS" w:cs="Trebuchet MS"/>
        <w:b/>
        <w:color w:val="808080"/>
        <w:sz w:val="12"/>
        <w:szCs w:val="12"/>
      </w:rPr>
      <w:fldChar w:fldCharType="end"/>
    </w:r>
  </w:p>
  <w:p w14:paraId="330B9D5F" w14:textId="77777777" w:rsidR="002A170C" w:rsidRDefault="002A170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90C8" w14:textId="77777777" w:rsidR="00450B2E" w:rsidRDefault="00450B2E">
      <w:r>
        <w:separator/>
      </w:r>
    </w:p>
  </w:footnote>
  <w:footnote w:type="continuationSeparator" w:id="0">
    <w:p w14:paraId="614D198F" w14:textId="77777777" w:rsidR="00450B2E" w:rsidRDefault="0045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8A22" w14:textId="77777777" w:rsidR="002A170C" w:rsidRDefault="00450B2E">
    <w:pPr>
      <w:pBdr>
        <w:top w:val="nil"/>
        <w:left w:val="nil"/>
        <w:bottom w:val="nil"/>
        <w:right w:val="nil"/>
        <w:between w:val="nil"/>
      </w:pBdr>
      <w:tabs>
        <w:tab w:val="center" w:pos="4536"/>
        <w:tab w:val="right" w:pos="9072"/>
      </w:tabs>
      <w:rPr>
        <w:color w:val="000000"/>
      </w:rPr>
    </w:pPr>
    <w:r>
      <w:rPr>
        <w:color w:val="000000"/>
      </w:rPr>
      <w:pict w14:anchorId="25DD1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6A5E" w14:textId="77777777" w:rsidR="002A170C" w:rsidRDefault="00FE4CB5">
    <w:pPr>
      <w:pBdr>
        <w:top w:val="nil"/>
        <w:left w:val="nil"/>
        <w:bottom w:val="nil"/>
        <w:right w:val="nil"/>
        <w:between w:val="nil"/>
      </w:pBdr>
      <w:tabs>
        <w:tab w:val="center" w:pos="4536"/>
        <w:tab w:val="right" w:pos="9072"/>
      </w:tabs>
      <w:rPr>
        <w:color w:val="000000"/>
      </w:rPr>
    </w:pPr>
    <w:r>
      <w:rPr>
        <w:noProof/>
        <w:color w:val="000000"/>
        <w:lang w:val="pl-PL"/>
      </w:rPr>
      <w:drawing>
        <wp:anchor distT="0" distB="0" distL="0" distR="0" simplePos="0" relativeHeight="251656704" behindDoc="1" locked="0" layoutInCell="1" hidden="0" allowOverlap="1" wp14:anchorId="42D34A9A" wp14:editId="419BD03F">
          <wp:simplePos x="0" y="0"/>
          <wp:positionH relativeFrom="page">
            <wp:posOffset>0</wp:posOffset>
          </wp:positionH>
          <wp:positionV relativeFrom="page">
            <wp:posOffset>0</wp:posOffset>
          </wp:positionV>
          <wp:extent cx="7569359" cy="1069920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9359" cy="10699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84E5" w14:textId="77777777" w:rsidR="002A170C" w:rsidRDefault="00450B2E">
    <w:pPr>
      <w:pBdr>
        <w:top w:val="nil"/>
        <w:left w:val="nil"/>
        <w:bottom w:val="nil"/>
        <w:right w:val="nil"/>
        <w:between w:val="nil"/>
      </w:pBdr>
      <w:tabs>
        <w:tab w:val="center" w:pos="4536"/>
        <w:tab w:val="right" w:pos="9072"/>
      </w:tabs>
      <w:rPr>
        <w:color w:val="000000"/>
      </w:rPr>
    </w:pPr>
    <w:r>
      <w:rPr>
        <w:color w:val="000000"/>
      </w:rPr>
      <w:pict w14:anchorId="78F2B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3422"/>
    <w:multiLevelType w:val="multilevel"/>
    <w:tmpl w:val="813C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0693E"/>
    <w:multiLevelType w:val="hybridMultilevel"/>
    <w:tmpl w:val="182006A0"/>
    <w:lvl w:ilvl="0" w:tplc="5C50BED8">
      <w:start w:val="2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5714807">
    <w:abstractNumId w:val="1"/>
  </w:num>
  <w:num w:numId="2" w16cid:durableId="87740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0C"/>
    <w:rsid w:val="000163D0"/>
    <w:rsid w:val="00026626"/>
    <w:rsid w:val="00035D3C"/>
    <w:rsid w:val="00063969"/>
    <w:rsid w:val="00070B2F"/>
    <w:rsid w:val="000A5CC8"/>
    <w:rsid w:val="000A65D0"/>
    <w:rsid w:val="000B320D"/>
    <w:rsid w:val="000D2A7A"/>
    <w:rsid w:val="000E0893"/>
    <w:rsid w:val="000F44EA"/>
    <w:rsid w:val="00105D13"/>
    <w:rsid w:val="001223D7"/>
    <w:rsid w:val="00141C52"/>
    <w:rsid w:val="001614F5"/>
    <w:rsid w:val="00183C35"/>
    <w:rsid w:val="001C096E"/>
    <w:rsid w:val="001F2B79"/>
    <w:rsid w:val="002466C4"/>
    <w:rsid w:val="00284089"/>
    <w:rsid w:val="002A170C"/>
    <w:rsid w:val="002C18D8"/>
    <w:rsid w:val="00330977"/>
    <w:rsid w:val="003540A5"/>
    <w:rsid w:val="00384EC5"/>
    <w:rsid w:val="003A30B5"/>
    <w:rsid w:val="003C3450"/>
    <w:rsid w:val="00444D10"/>
    <w:rsid w:val="00450B2E"/>
    <w:rsid w:val="004636B2"/>
    <w:rsid w:val="004C2E09"/>
    <w:rsid w:val="004C6938"/>
    <w:rsid w:val="00513392"/>
    <w:rsid w:val="0053111D"/>
    <w:rsid w:val="005501C9"/>
    <w:rsid w:val="00573CE7"/>
    <w:rsid w:val="0057633C"/>
    <w:rsid w:val="00612DA8"/>
    <w:rsid w:val="006578CA"/>
    <w:rsid w:val="007727DA"/>
    <w:rsid w:val="00777DEF"/>
    <w:rsid w:val="007862AE"/>
    <w:rsid w:val="0079332F"/>
    <w:rsid w:val="007C4307"/>
    <w:rsid w:val="007C54CC"/>
    <w:rsid w:val="007D139B"/>
    <w:rsid w:val="007D3CDB"/>
    <w:rsid w:val="00831930"/>
    <w:rsid w:val="00837FC1"/>
    <w:rsid w:val="008506E5"/>
    <w:rsid w:val="00851B8D"/>
    <w:rsid w:val="00870542"/>
    <w:rsid w:val="008C64F8"/>
    <w:rsid w:val="008E4E2F"/>
    <w:rsid w:val="00900B2A"/>
    <w:rsid w:val="00921A2F"/>
    <w:rsid w:val="009A2EA7"/>
    <w:rsid w:val="009A4BCC"/>
    <w:rsid w:val="009D1EC0"/>
    <w:rsid w:val="009E076E"/>
    <w:rsid w:val="009E0EA7"/>
    <w:rsid w:val="00A00B3E"/>
    <w:rsid w:val="00A27DE4"/>
    <w:rsid w:val="00A94ACD"/>
    <w:rsid w:val="00AC74C4"/>
    <w:rsid w:val="00AF2805"/>
    <w:rsid w:val="00AF4301"/>
    <w:rsid w:val="00B027F9"/>
    <w:rsid w:val="00B07CCC"/>
    <w:rsid w:val="00B14811"/>
    <w:rsid w:val="00B30628"/>
    <w:rsid w:val="00B30D2E"/>
    <w:rsid w:val="00B54F1D"/>
    <w:rsid w:val="00B853DC"/>
    <w:rsid w:val="00B95B91"/>
    <w:rsid w:val="00BA021A"/>
    <w:rsid w:val="00BA1840"/>
    <w:rsid w:val="00BA36A4"/>
    <w:rsid w:val="00BA5684"/>
    <w:rsid w:val="00BC12D6"/>
    <w:rsid w:val="00BC4190"/>
    <w:rsid w:val="00BC7C57"/>
    <w:rsid w:val="00BE0F7C"/>
    <w:rsid w:val="00C261D6"/>
    <w:rsid w:val="00C36997"/>
    <w:rsid w:val="00C45B5B"/>
    <w:rsid w:val="00C51A2A"/>
    <w:rsid w:val="00C835EC"/>
    <w:rsid w:val="00CC4DE0"/>
    <w:rsid w:val="00CC597E"/>
    <w:rsid w:val="00CD1078"/>
    <w:rsid w:val="00CE10BB"/>
    <w:rsid w:val="00CE5508"/>
    <w:rsid w:val="00CF2EDD"/>
    <w:rsid w:val="00D000A4"/>
    <w:rsid w:val="00D17B74"/>
    <w:rsid w:val="00D212EE"/>
    <w:rsid w:val="00D238CC"/>
    <w:rsid w:val="00D55200"/>
    <w:rsid w:val="00D563EE"/>
    <w:rsid w:val="00D73393"/>
    <w:rsid w:val="00D74ACD"/>
    <w:rsid w:val="00E51B40"/>
    <w:rsid w:val="00E5480C"/>
    <w:rsid w:val="00E55779"/>
    <w:rsid w:val="00E76A39"/>
    <w:rsid w:val="00E83522"/>
    <w:rsid w:val="00E967B2"/>
    <w:rsid w:val="00ED094D"/>
    <w:rsid w:val="00EE220C"/>
    <w:rsid w:val="00EF0B3A"/>
    <w:rsid w:val="00F52159"/>
    <w:rsid w:val="00F5397B"/>
    <w:rsid w:val="00F6353A"/>
    <w:rsid w:val="00FA6061"/>
    <w:rsid w:val="00FB1B7A"/>
    <w:rsid w:val="00FE4CB5"/>
    <w:rsid w:val="00FE60A9"/>
    <w:rsid w:val="00FF2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55F5F"/>
  <w15:docId w15:val="{74B0BA20-9F6F-4759-89A2-6B27C2EF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68AA"/>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5F4757"/>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5F4757"/>
  </w:style>
  <w:style w:type="paragraph" w:styleId="Stopka">
    <w:name w:val="footer"/>
    <w:basedOn w:val="Normalny"/>
    <w:link w:val="StopkaZnak"/>
    <w:uiPriority w:val="99"/>
    <w:unhideWhenUsed/>
    <w:rsid w:val="005F4757"/>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5F4757"/>
  </w:style>
  <w:style w:type="character" w:styleId="Hipercze">
    <w:name w:val="Hyperlink"/>
    <w:basedOn w:val="Domylnaczcionkaakapitu"/>
    <w:uiPriority w:val="99"/>
    <w:unhideWhenUsed/>
    <w:rsid w:val="005A3B22"/>
    <w:rPr>
      <w:color w:val="0563C1" w:themeColor="hyperlink"/>
      <w:u w:val="single"/>
    </w:rPr>
  </w:style>
  <w:style w:type="character" w:customStyle="1" w:styleId="Nierozpoznanawzmianka1">
    <w:name w:val="Nierozpoznana wzmianka1"/>
    <w:basedOn w:val="Domylnaczcionkaakapitu"/>
    <w:uiPriority w:val="99"/>
    <w:semiHidden/>
    <w:unhideWhenUsed/>
    <w:rsid w:val="005A3B22"/>
    <w:rPr>
      <w:color w:val="605E5C"/>
      <w:shd w:val="clear" w:color="auto" w:fill="E1DFDD"/>
    </w:rPr>
  </w:style>
  <w:style w:type="paragraph" w:styleId="NormalnyWeb">
    <w:name w:val="Normal (Web)"/>
    <w:basedOn w:val="Normalny"/>
    <w:uiPriority w:val="99"/>
    <w:semiHidden/>
    <w:unhideWhenUsed/>
    <w:rsid w:val="00CE68AA"/>
    <w:pPr>
      <w:spacing w:before="100" w:beforeAutospacing="1" w:after="100" w:afterAutospacing="1"/>
    </w:pPr>
    <w:rPr>
      <w:rFonts w:ascii="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odstawowy">
    <w:name w:val="Body Text"/>
    <w:basedOn w:val="Normalny"/>
    <w:link w:val="TekstpodstawowyZnak"/>
    <w:uiPriority w:val="1"/>
    <w:semiHidden/>
    <w:unhideWhenUsed/>
    <w:rsid w:val="007D3CDB"/>
    <w:pPr>
      <w:autoSpaceDE w:val="0"/>
      <w:autoSpaceDN w:val="0"/>
    </w:pPr>
    <w:rPr>
      <w:rFonts w:ascii="Arial" w:eastAsiaTheme="minorHAnsi" w:hAnsi="Arial" w:cs="Arial"/>
      <w:sz w:val="20"/>
      <w:szCs w:val="20"/>
      <w:lang w:val="pl-PL" w:eastAsia="en-US"/>
    </w:rPr>
  </w:style>
  <w:style w:type="character" w:customStyle="1" w:styleId="TekstpodstawowyZnak">
    <w:name w:val="Tekst podstawowy Znak"/>
    <w:basedOn w:val="Domylnaczcionkaakapitu"/>
    <w:link w:val="Tekstpodstawowy"/>
    <w:uiPriority w:val="1"/>
    <w:semiHidden/>
    <w:rsid w:val="007D3CDB"/>
    <w:rPr>
      <w:rFonts w:ascii="Arial" w:eastAsiaTheme="minorHAnsi" w:hAnsi="Arial" w:cs="Arial"/>
      <w:sz w:val="20"/>
      <w:szCs w:val="20"/>
      <w:lang w:val="pl-PL" w:eastAsia="en-US"/>
    </w:rPr>
  </w:style>
  <w:style w:type="paragraph" w:customStyle="1" w:styleId="has-text-align-center">
    <w:name w:val="has-text-align-center"/>
    <w:basedOn w:val="Normalny"/>
    <w:rsid w:val="007D3CDB"/>
    <w:pPr>
      <w:spacing w:before="100" w:beforeAutospacing="1" w:after="100" w:afterAutospacing="1"/>
    </w:pPr>
    <w:rPr>
      <w:rFonts w:eastAsia="Times New Roman"/>
      <w:lang w:val="pl-PL"/>
    </w:rPr>
  </w:style>
  <w:style w:type="paragraph" w:styleId="Poprawka">
    <w:name w:val="Revision"/>
    <w:hidden/>
    <w:uiPriority w:val="99"/>
    <w:semiHidden/>
    <w:rsid w:val="00BC4190"/>
  </w:style>
  <w:style w:type="character" w:styleId="Odwoaniedokomentarza">
    <w:name w:val="annotation reference"/>
    <w:basedOn w:val="Domylnaczcionkaakapitu"/>
    <w:uiPriority w:val="99"/>
    <w:semiHidden/>
    <w:unhideWhenUsed/>
    <w:rsid w:val="00BC4190"/>
    <w:rPr>
      <w:sz w:val="16"/>
      <w:szCs w:val="16"/>
    </w:rPr>
  </w:style>
  <w:style w:type="paragraph" w:styleId="Tekstkomentarza">
    <w:name w:val="annotation text"/>
    <w:basedOn w:val="Normalny"/>
    <w:link w:val="TekstkomentarzaZnak"/>
    <w:uiPriority w:val="99"/>
    <w:semiHidden/>
    <w:unhideWhenUsed/>
    <w:rsid w:val="00BC4190"/>
    <w:rPr>
      <w:sz w:val="20"/>
      <w:szCs w:val="20"/>
    </w:rPr>
  </w:style>
  <w:style w:type="character" w:customStyle="1" w:styleId="TekstkomentarzaZnak">
    <w:name w:val="Tekst komentarza Znak"/>
    <w:basedOn w:val="Domylnaczcionkaakapitu"/>
    <w:link w:val="Tekstkomentarza"/>
    <w:uiPriority w:val="99"/>
    <w:semiHidden/>
    <w:rsid w:val="00BC4190"/>
    <w:rPr>
      <w:sz w:val="20"/>
      <w:szCs w:val="20"/>
    </w:rPr>
  </w:style>
  <w:style w:type="paragraph" w:styleId="Tematkomentarza">
    <w:name w:val="annotation subject"/>
    <w:basedOn w:val="Tekstkomentarza"/>
    <w:next w:val="Tekstkomentarza"/>
    <w:link w:val="TematkomentarzaZnak"/>
    <w:uiPriority w:val="99"/>
    <w:semiHidden/>
    <w:unhideWhenUsed/>
    <w:rsid w:val="00BC4190"/>
    <w:rPr>
      <w:b/>
      <w:bCs/>
    </w:rPr>
  </w:style>
  <w:style w:type="character" w:customStyle="1" w:styleId="TematkomentarzaZnak">
    <w:name w:val="Temat komentarza Znak"/>
    <w:basedOn w:val="TekstkomentarzaZnak"/>
    <w:link w:val="Tematkomentarza"/>
    <w:uiPriority w:val="99"/>
    <w:semiHidden/>
    <w:rsid w:val="00BC4190"/>
    <w:rPr>
      <w:b/>
      <w:bCs/>
      <w:sz w:val="20"/>
      <w:szCs w:val="20"/>
    </w:rPr>
  </w:style>
  <w:style w:type="character" w:styleId="Pogrubienie">
    <w:name w:val="Strong"/>
    <w:basedOn w:val="Domylnaczcionkaakapitu"/>
    <w:uiPriority w:val="22"/>
    <w:qFormat/>
    <w:rsid w:val="00A27DE4"/>
    <w:rPr>
      <w:b/>
      <w:bCs/>
    </w:rPr>
  </w:style>
  <w:style w:type="character" w:customStyle="1" w:styleId="apple-converted-space">
    <w:name w:val="apple-converted-space"/>
    <w:basedOn w:val="Domylnaczcionkaakapitu"/>
    <w:rsid w:val="00BA021A"/>
  </w:style>
  <w:style w:type="paragraph" w:styleId="Akapitzlist">
    <w:name w:val="List Paragraph"/>
    <w:basedOn w:val="Normalny"/>
    <w:uiPriority w:val="34"/>
    <w:qFormat/>
    <w:rsid w:val="00BA021A"/>
    <w:pPr>
      <w:ind w:left="720"/>
      <w:contextualSpacing/>
    </w:pPr>
  </w:style>
  <w:style w:type="paragraph" w:styleId="Tekstdymka">
    <w:name w:val="Balloon Text"/>
    <w:basedOn w:val="Normalny"/>
    <w:link w:val="TekstdymkaZnak"/>
    <w:uiPriority w:val="99"/>
    <w:semiHidden/>
    <w:unhideWhenUsed/>
    <w:rsid w:val="008506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3707">
      <w:bodyDiv w:val="1"/>
      <w:marLeft w:val="0"/>
      <w:marRight w:val="0"/>
      <w:marTop w:val="0"/>
      <w:marBottom w:val="0"/>
      <w:divBdr>
        <w:top w:val="none" w:sz="0" w:space="0" w:color="auto"/>
        <w:left w:val="none" w:sz="0" w:space="0" w:color="auto"/>
        <w:bottom w:val="none" w:sz="0" w:space="0" w:color="auto"/>
        <w:right w:val="none" w:sz="0" w:space="0" w:color="auto"/>
      </w:divBdr>
      <w:divsChild>
        <w:div w:id="721445868">
          <w:marLeft w:val="0"/>
          <w:marRight w:val="0"/>
          <w:marTop w:val="0"/>
          <w:marBottom w:val="240"/>
          <w:divBdr>
            <w:top w:val="none" w:sz="0" w:space="0" w:color="auto"/>
            <w:left w:val="none" w:sz="0" w:space="0" w:color="auto"/>
            <w:bottom w:val="none" w:sz="0" w:space="0" w:color="auto"/>
            <w:right w:val="none" w:sz="0" w:space="0" w:color="auto"/>
          </w:divBdr>
        </w:div>
        <w:div w:id="1905987803">
          <w:marLeft w:val="0"/>
          <w:marRight w:val="0"/>
          <w:marTop w:val="0"/>
          <w:marBottom w:val="240"/>
          <w:divBdr>
            <w:top w:val="none" w:sz="0" w:space="0" w:color="auto"/>
            <w:left w:val="none" w:sz="0" w:space="0" w:color="auto"/>
            <w:bottom w:val="none" w:sz="0" w:space="0" w:color="auto"/>
            <w:right w:val="none" w:sz="0" w:space="0" w:color="auto"/>
          </w:divBdr>
        </w:div>
      </w:divsChild>
    </w:div>
    <w:div w:id="1209029444">
      <w:bodyDiv w:val="1"/>
      <w:marLeft w:val="0"/>
      <w:marRight w:val="0"/>
      <w:marTop w:val="0"/>
      <w:marBottom w:val="0"/>
      <w:divBdr>
        <w:top w:val="none" w:sz="0" w:space="0" w:color="auto"/>
        <w:left w:val="none" w:sz="0" w:space="0" w:color="auto"/>
        <w:bottom w:val="none" w:sz="0" w:space="0" w:color="auto"/>
        <w:right w:val="none" w:sz="0" w:space="0" w:color="auto"/>
      </w:divBdr>
    </w:div>
    <w:div w:id="1461727642">
      <w:bodyDiv w:val="1"/>
      <w:marLeft w:val="0"/>
      <w:marRight w:val="0"/>
      <w:marTop w:val="0"/>
      <w:marBottom w:val="0"/>
      <w:divBdr>
        <w:top w:val="none" w:sz="0" w:space="0" w:color="auto"/>
        <w:left w:val="none" w:sz="0" w:space="0" w:color="auto"/>
        <w:bottom w:val="none" w:sz="0" w:space="0" w:color="auto"/>
        <w:right w:val="none" w:sz="0" w:space="0" w:color="auto"/>
      </w:divBdr>
    </w:div>
    <w:div w:id="1546718916">
      <w:bodyDiv w:val="1"/>
      <w:marLeft w:val="0"/>
      <w:marRight w:val="0"/>
      <w:marTop w:val="0"/>
      <w:marBottom w:val="0"/>
      <w:divBdr>
        <w:top w:val="none" w:sz="0" w:space="0" w:color="auto"/>
        <w:left w:val="none" w:sz="0" w:space="0" w:color="auto"/>
        <w:bottom w:val="none" w:sz="0" w:space="0" w:color="auto"/>
        <w:right w:val="none" w:sz="0" w:space="0" w:color="auto"/>
      </w:divBdr>
    </w:div>
    <w:div w:id="1634676761">
      <w:bodyDiv w:val="1"/>
      <w:marLeft w:val="0"/>
      <w:marRight w:val="0"/>
      <w:marTop w:val="0"/>
      <w:marBottom w:val="0"/>
      <w:divBdr>
        <w:top w:val="none" w:sz="0" w:space="0" w:color="auto"/>
        <w:left w:val="none" w:sz="0" w:space="0" w:color="auto"/>
        <w:bottom w:val="none" w:sz="0" w:space="0" w:color="auto"/>
        <w:right w:val="none" w:sz="0" w:space="0" w:color="auto"/>
      </w:divBdr>
    </w:div>
    <w:div w:id="1775899699">
      <w:bodyDiv w:val="1"/>
      <w:marLeft w:val="0"/>
      <w:marRight w:val="0"/>
      <w:marTop w:val="0"/>
      <w:marBottom w:val="0"/>
      <w:divBdr>
        <w:top w:val="none" w:sz="0" w:space="0" w:color="auto"/>
        <w:left w:val="none" w:sz="0" w:space="0" w:color="auto"/>
        <w:bottom w:val="none" w:sz="0" w:space="0" w:color="auto"/>
        <w:right w:val="none" w:sz="0" w:space="0" w:color="auto"/>
      </w:divBdr>
    </w:div>
    <w:div w:id="1831945471">
      <w:bodyDiv w:val="1"/>
      <w:marLeft w:val="0"/>
      <w:marRight w:val="0"/>
      <w:marTop w:val="0"/>
      <w:marBottom w:val="0"/>
      <w:divBdr>
        <w:top w:val="none" w:sz="0" w:space="0" w:color="auto"/>
        <w:left w:val="none" w:sz="0" w:space="0" w:color="auto"/>
        <w:bottom w:val="none" w:sz="0" w:space="0" w:color="auto"/>
        <w:right w:val="none" w:sz="0" w:space="0" w:color="auto"/>
      </w:divBdr>
    </w:div>
    <w:div w:id="1939169711">
      <w:bodyDiv w:val="1"/>
      <w:marLeft w:val="0"/>
      <w:marRight w:val="0"/>
      <w:marTop w:val="0"/>
      <w:marBottom w:val="0"/>
      <w:divBdr>
        <w:top w:val="none" w:sz="0" w:space="0" w:color="auto"/>
        <w:left w:val="none" w:sz="0" w:space="0" w:color="auto"/>
        <w:bottom w:val="none" w:sz="0" w:space="0" w:color="auto"/>
        <w:right w:val="none" w:sz="0" w:space="0" w:color="auto"/>
      </w:divBdr>
      <w:divsChild>
        <w:div w:id="330301603">
          <w:marLeft w:val="0"/>
          <w:marRight w:val="0"/>
          <w:marTop w:val="0"/>
          <w:marBottom w:val="0"/>
          <w:divBdr>
            <w:top w:val="none" w:sz="0" w:space="0" w:color="auto"/>
            <w:left w:val="none" w:sz="0" w:space="0" w:color="auto"/>
            <w:bottom w:val="none" w:sz="0" w:space="0" w:color="auto"/>
            <w:right w:val="none" w:sz="0" w:space="0" w:color="auto"/>
          </w:divBdr>
          <w:divsChild>
            <w:div w:id="9757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4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ytel@payte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hHg80uGf00tPxjzgSFf4s0txQ==">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844</Words>
  <Characters>5065</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PayTel S.A.</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Anna Gajewska</cp:lastModifiedBy>
  <cp:revision>12</cp:revision>
  <dcterms:created xsi:type="dcterms:W3CDTF">2022-11-28T12:13:00Z</dcterms:created>
  <dcterms:modified xsi:type="dcterms:W3CDTF">2023-02-28T08:29:00Z</dcterms:modified>
</cp:coreProperties>
</file>