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3AC158" wp14:paraId="1B116F0D" wp14:textId="7A60D0C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Wirtualna rzeczywistość i realny zysk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.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Czeka nas rewolucja?</w:t>
      </w:r>
    </w:p>
    <w:p xmlns:wp14="http://schemas.microsoft.com/office/word/2010/wordml" w:rsidP="0B3AC158" wp14:paraId="5AF5AC34" wp14:textId="09A5208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echnologie takie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rozszerzona rzeczywistość (AR), wirtualna rzeczywistość (VR) czy mieszana rzeczywistość (MR)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przestały być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eksperymentami i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trudno dostępnymi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rozwiązaniami.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Dziś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powodzeniem są wykorzystywane nie tylko w branży rozrywkowej, ale też w szeroko pojętym projektowaniu, edukacji, wojskowości, medycynie, przemyśle i mechanice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stając się nieodłączn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ym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elementem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nasze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 codzienności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ałtowny rozwój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nowych technologii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oraz pojawienie się ogólnodostępnych produktów na rynku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powoduje, że w najbliższych miesiącach możemy spodziewać się nie tylko popularyzacji tego typu rozwiązań, ale i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zwiększenia inwestycji w 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obszary wykorzystujące AR, VR i MR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B3AC158" wp14:paraId="1B7D63D7" wp14:textId="1BBC363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AR, VR i MR stanowią trzy pokrewne branże technologii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korzystające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innowacyjnych rozwiązań interakcyjnych, takich jak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gesty ruchowe, sensory dotykowe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zaawansowane systemy śledzenia wzroku.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Ich celem jest transformacja doświadczeń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użytkowników poprzez wizualizację cyfrowych obiektów w rzeczywistym świecie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tworz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enie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ałkowicie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immersyjn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ych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wirtualn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ych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świat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ów.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B3AC158" wp14:paraId="5E2362E4" wp14:textId="6458EC3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Wiele z tych technolo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gii swoje początki 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iało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drogich i wyspecjalizowanych branżach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takich jak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wojsko czy przemysł kosmiczny, by potem tr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afić do tzw. “mainstreamu”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Tak też narodził się sukces firmy Apple, dążącej do demokratyzacji nowoczesnych technologii poprzez wykorzystywanie istniejących już rozwiązań do tworzenia nowych, ulepszonych produktów.</w:t>
      </w:r>
    </w:p>
    <w:p xmlns:wp14="http://schemas.microsoft.com/office/word/2010/wordml" w:rsidP="0B3AC158" wp14:paraId="3580229D" wp14:textId="1288E02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początku czerwca Apple zaprezentowało pierwszy od dawna zupełnie nowy produkt,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Vision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Pro, łączący funkcjonalność rozszerzonej (AR), wirtualnej (VR) i mieszanej rzeczywistości (MR).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Jak zauważa ekspert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nowy produkt ma potencjał być przełomem, który nie tylko wpłynie na wzrost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samej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firmy i rewolucj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ę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krajobraz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technologiczn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ego, ale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pobudzi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rynek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 inwestycji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nowe obszary.</w:t>
      </w:r>
    </w:p>
    <w:p xmlns:wp14="http://schemas.microsoft.com/office/word/2010/wordml" w:rsidP="0B3AC158" wp14:paraId="424A6B7D" wp14:textId="09FD8D3E">
      <w:pPr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“B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ranża AR/VR/MR wciąż stoi w miejscu, ponieważ firmom nie udaje się przyciągnąć i zatrzymać użytkowników na swoich platformach. Dla przykładu – wielu właścicieli Quest od Meta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Platforms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przestało używać tego urządzenia po zaledwie kilku tygodniach od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jego zakupu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Przełom może przynieść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Vision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Pro, które m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 potencjał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pobudzić rynek do rozwijania kolejnych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rozwiązań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 ten system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mówi Timur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CEO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i założyciel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Europe.</w:t>
      </w:r>
    </w:p>
    <w:p xmlns:wp14="http://schemas.microsoft.com/office/word/2010/wordml" w:rsidP="0B3AC158" wp14:paraId="3A049D27" wp14:textId="181208D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zauważa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s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trategia cenowa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Apple oparta na tworzeniu produktów o wyjątkowej wartości percepcyjnej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pomimo swojej kontrowersyjności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jest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wciąż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jednym z kluczowych elementów sukcesu firmy. Poprzez koncentrację na dostarczaniu jakości, innowacyjności i spójności ekosystemu, Apple umożliwia sobie ustalanie wyższych cen, jednocześnie utrzymuje silną pozycję na rynku i lojalność klientów. Tak było przy sprzedaży pierwszego iPhone, który kosztował 499 dolarów, podczas gdy Nokia sprzedawała wówczas telefony za 200-250 dolarów. Mimo to Apple udało się sprzedać 1 milion urządzeń w zaledwie 74 dni od premiery. Co prawda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Vision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 jest przeznaczony dla węższego grona odbiorców, ale wiele wskazuje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że i tym razem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wysoka cena nie będzie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przeszkodą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biciu rekordów popularności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Marka ma wielu oddanych fanów, dla których koszt urządzenia nie jest kluczowym parametrem.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Dodatkowo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widoczne już teraz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ogromne medialne zainteresowanie produktem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potwierdza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jego potencjał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pozwala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przewidzieć sukces produktów.</w:t>
      </w:r>
    </w:p>
    <w:p xmlns:wp14="http://schemas.microsoft.com/office/word/2010/wordml" w:rsidP="0B3AC158" wp14:paraId="4A14ED85" wp14:textId="79FE062D">
      <w:pPr>
        <w:spacing w:after="160" w:line="259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“Apple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Vision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 dla branż rozszerzonej i wirtualnej rzeczywistości może być tym czym był pierwszy iPhone dla rynku telefonów komórkowych. Rozwój AR i VR to szansa na stymulację wzrostu technologicznych gigantów, w tym naturalnie Apple, ale też Meta, Microsoft i Magic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Leap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To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 kolei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stwarza atrakcyjne perspektywy dla inwestorów, którzy dostrzegają potencjał tych technologii i chcą być częścią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ich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dynamicznego rozwoju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dlatego w n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ajbliższych miesiącach możemy spodziewać się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wzrostu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inwestycji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małe firmy i start-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upy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wykorzystujące te technologie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”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wskazuje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B3AC158" wp14:paraId="2B1731F4" wp14:textId="28CE2C4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Nowy produkt Apple to także szansa na rozwój dla innych branż, niekoniecznie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bezpośrednio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związanych z nowymi technologiami. Jedną z nich jest chociażby branża fotograficzna, która z uwagi na rosnące zapotrzebowanie na zdjęcia i filmy w rozdzielczości 8k, wymagających trójwymiarowego wykrywania głębi, a także śledzenia obiektów w czasie rzeczywistym może realnie skorzystać z funkcjonalności urządzenia. Nowe funkcjonalności sprzętu od Apple mogą także pomóc opracować nowe aplikacje medyczne, służące do obrazowania medycznego i diagnostyki.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Upowszechnienie rozwiązań AR/VR/MR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także szansa na rozwój nowych funkcji dla przemysłu motoryzacyjnego, np. systemu wspomagającego kierownicę i ostrzegania przed niezamierzoną zmianą pasa ruchu czy likwidując martwe pole w ciężarówkach, które mogą pomóc w zwiększeniu bezpieczeństwa na drodze i zmniejszeniu liczby wypadków.</w:t>
      </w:r>
    </w:p>
    <w:p xmlns:wp14="http://schemas.microsoft.com/office/word/2010/wordml" w:rsidP="0B3AC158" wp14:paraId="08093653" wp14:textId="759AD61B">
      <w:pPr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"Nie ma wątpliwości, że jesteśmy świadkami przeło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mowego momentu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dla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rozwoju wirtualnej rzeczywistości.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Wprowadzenie na rynek nowych produktów wykorzystujących te technologie stanowi kolejny kamień milowy w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procesie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jego upowszechniania na dużą skalę.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Potencjał rewolucji podkreślają chociażby ostatnie wyniki giełdowe giganta z 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Cupertino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niedawno wartość firmy przekroczyła 3 bln dolarów, a szacuje się, że wystarczą jej kolejne dwa lata, by osiągnąć wycenę 4 bln dolarów. I to m.in. rozwiązania z zakresu wirtualnej rzeczywistości mają być główną siłą napędową tak dynamicznego wzrostu</w:t>
      </w:r>
      <w:r w:rsidRPr="0B3AC158" w:rsidR="3D50BD2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dodaje Timur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B3AC158" wp14:paraId="441DDB8D" wp14:textId="6509D0F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Wprowadzenie na rynek Apple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Vision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Pro to ogromna szansa na upowszechnienie i zwiększenie dostępności technologii AR/VR/MR.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Pomimo, że całemu procesowi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towarzyszy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wciąż dużo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niepewności to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znając wyjątkową zdolność marki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Apple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przyciągania uwagi i tworzenia długotrwałych trendów,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pewne jest, że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przez najbliższe miesiące czeka nas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niezwykle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interesujący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intensywny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okres, w którym będziemy świadkami ewolucji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wirtualnej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rzeczywistości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jej wpływu na nasze życie.</w:t>
      </w:r>
    </w:p>
    <w:p xmlns:wp14="http://schemas.microsoft.com/office/word/2010/wordml" w:rsidP="0B3AC158" wp14:paraId="6DD26AA0" wp14:textId="77BF8A3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B3AC158" wp14:paraId="4E06B873" wp14:textId="53C3B01B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xmlns:wp14="http://schemas.microsoft.com/office/word/2010/wordml" w:rsidP="0B3AC158" wp14:paraId="39DB8BD9" wp14:textId="57D3EBB3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Akcje holdingu notowane są na giełdzie NASDAQ, a jego działalność jest regulowana przez amerykańską Komisję Papierów Wartościowych i Giełd (SEC). 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oferuje swoim klientom bezpośredni dostęp do największych światowych giełd papierów wartościowych, profesjonalną analitykę papierów wartościowych oraz dedykowane aplikacje handlowe.</w:t>
      </w:r>
    </w:p>
    <w:p xmlns:wp14="http://schemas.microsoft.com/office/word/2010/wordml" w:rsidP="0B3AC158" wp14:paraId="5D609C67" wp14:textId="00EF57A3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B3AC158" wp14:paraId="58E1A11E" wp14:textId="0E01640B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3AC158" w:rsidR="3D50B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bedbcd8d43f64203">
        <w:r w:rsidRPr="0B3AC158" w:rsidR="3D50BD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p xmlns:wp14="http://schemas.microsoft.com/office/word/2010/wordml" w:rsidP="0B3AC158" wp14:paraId="48943BE6" wp14:textId="71AEB8E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B3AC158" wp14:paraId="57375426" wp14:textId="68D43FD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a9b87c21904f428c"/>
      <w:footerReference w:type="default" r:id="R699690897a5f4e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3AC158" w:rsidTr="0B3AC158" w14:paraId="7FD4A3F6">
      <w:trPr>
        <w:trHeight w:val="300"/>
      </w:trPr>
      <w:tc>
        <w:tcPr>
          <w:tcW w:w="3005" w:type="dxa"/>
          <w:tcMar/>
        </w:tcPr>
        <w:p w:rsidR="0B3AC158" w:rsidP="0B3AC158" w:rsidRDefault="0B3AC158" w14:paraId="716B9E21" w14:textId="4F33B78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B3AC158" w:rsidP="0B3AC158" w:rsidRDefault="0B3AC158" w14:paraId="2368E53C" w14:textId="5B064F1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B3AC158" w:rsidP="0B3AC158" w:rsidRDefault="0B3AC158" w14:paraId="5DDF81C7" w14:textId="646BB6B9">
          <w:pPr>
            <w:pStyle w:val="Header"/>
            <w:bidi w:val="0"/>
            <w:ind w:right="-115"/>
            <w:jc w:val="right"/>
          </w:pPr>
        </w:p>
      </w:tc>
    </w:tr>
  </w:tbl>
  <w:p w:rsidR="0B3AC158" w:rsidP="0B3AC158" w:rsidRDefault="0B3AC158" w14:paraId="3B186457" w14:textId="0A39E9A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3AC158" w:rsidTr="0B3AC158" w14:paraId="216F7852">
      <w:trPr>
        <w:trHeight w:val="300"/>
      </w:trPr>
      <w:tc>
        <w:tcPr>
          <w:tcW w:w="3005" w:type="dxa"/>
          <w:tcMar/>
        </w:tcPr>
        <w:p w:rsidR="0B3AC158" w:rsidP="0B3AC158" w:rsidRDefault="0B3AC158" w14:paraId="1E720C32" w14:textId="38664BCC">
          <w:pPr>
            <w:pStyle w:val="Header"/>
            <w:bidi w:val="0"/>
            <w:ind w:left="-115"/>
            <w:jc w:val="left"/>
          </w:pPr>
          <w:r w:rsidR="0B3AC158">
            <w:drawing>
              <wp:inline wp14:editId="6CCBB0E1" wp14:anchorId="03351CC2">
                <wp:extent cx="1333500" cy="400050"/>
                <wp:effectExtent l="0" t="0" r="0" b="0"/>
                <wp:docPr id="50668670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1ae2d5fc49443d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B3AC158" w:rsidP="0B3AC158" w:rsidRDefault="0B3AC158" w14:paraId="1BDC8581" w14:textId="2905C23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B3AC158" w:rsidP="0B3AC158" w:rsidRDefault="0B3AC158" w14:paraId="55D1B273" w14:textId="677CF9EF">
          <w:pPr>
            <w:pStyle w:val="Header"/>
            <w:bidi w:val="0"/>
            <w:ind w:right="-115"/>
            <w:jc w:val="right"/>
          </w:pPr>
        </w:p>
      </w:tc>
    </w:tr>
  </w:tbl>
  <w:p w:rsidR="0B3AC158" w:rsidP="0B3AC158" w:rsidRDefault="0B3AC158" w14:paraId="511441C0" w14:textId="1A91F74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36A62A"/>
    <w:rsid w:val="0B3AC158"/>
    <w:rsid w:val="3D50BD22"/>
    <w:rsid w:val="4D36A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A62A"/>
  <w15:chartTrackingRefBased/>
  <w15:docId w15:val="{BD82EDBE-222C-4E70-ACDE-AB192FA34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reedom24.com/" TargetMode="External" Id="Rbedbcd8d43f64203" /><Relationship Type="http://schemas.openxmlformats.org/officeDocument/2006/relationships/header" Target="header.xml" Id="Ra9b87c21904f428c" /><Relationship Type="http://schemas.openxmlformats.org/officeDocument/2006/relationships/footer" Target="footer.xml" Id="R699690897a5f4e5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1ae2d5fc49443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2023-07-19T11:24:36.2844593Z</dcterms:created>
  <dcterms:modified xsi:type="dcterms:W3CDTF">2023-07-19T11:25:18.0629494Z</dcterms:modified>
  <dc:creator>Justyna  Węglarz</dc:creator>
  <lastModifiedBy>Justyna  Węglarz</lastModifiedBy>
</coreProperties>
</file>