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29F9B0" wp14:paraId="30E4EA71" wp14:textId="77004A1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629F9B0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Sektor</w:t>
      </w:r>
      <w:r w:rsidRPr="6629F9B0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OZE </w:t>
      </w:r>
      <w:r w:rsidRPr="6629F9B0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rośnie w siłę</w:t>
      </w:r>
      <w:r w:rsidRPr="6629F9B0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napędzając światową gospodarkę</w:t>
      </w:r>
    </w:p>
    <w:p xmlns:wp14="http://schemas.microsoft.com/office/word/2010/wordml" w:rsidP="29873204" wp14:paraId="5B1D89B6" wp14:textId="3D7D5636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</w:pP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E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nergia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słoneczna i wiatrowa będą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według progno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z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dostarczać 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w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2030 roku 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ponad jedną trzecią światowej energii elektrycznej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.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Nic dziwnego zatem, że w obliczu stale rosnącego zapotrzebowania na energię oraz z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mieniających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się norm środowiskowych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, odnawialne źródła energii stały się kluczowym elementem dyskusji dotyczącej przyszłości branży energetycznej.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Wzrost świadomości ekologicznej, postęp technologiczny, korzystne regulacje i konkurencyjność cen przyczyniają się 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do rekordowych wyników firm z branży OZE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. P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rzyciągają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też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inwestorów, 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napędzając rozwój jedn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ego</w:t>
      </w:r>
      <w:r w:rsidRPr="29873204" w:rsidR="62F258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z najbardziej obiecujących sektorów światowej gospodarki.</w:t>
      </w:r>
    </w:p>
    <w:p w:rsidR="57E01B07" w:rsidP="29873204" w:rsidRDefault="57E01B07" w14:paraId="7E9F8B8A" w14:textId="61B2EEF1">
      <w:pPr>
        <w:spacing w:after="160" w:line="259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pl-PL"/>
        </w:rPr>
      </w:pP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Ostatnie lata przyniosły ogromny wzrost w sektorze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odnawialnych źródeł energii (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OZE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)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,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skutkujący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rosnącą liczbą oraz skalą projektów związanych z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zieloną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energi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ą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.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Kluczową rolę w tym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procesie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odgrywają proekologiczne polityki największych gospodarek świata,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chociażby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takich jak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USA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, czy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krajów Unii Europejskiej.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W marcu tego roku Komisja Europejska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poinformowała o osiągnięciu wstępnego porozumienia w sprawie aktualizacji dyrektywy dotyczącej energii odnawialnej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, zgodnie z któr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ą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w 2030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roku</w:t>
      </w:r>
      <w:r w:rsidRPr="4DA1A8F1" w:rsidR="2E16B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udział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OZE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w ogólnym zużyciu energii w UE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ma wzrosnąć z 32% do 42,5%.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Z kolei Kongres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Stanów Zjednoczonych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przyjął w ubiegłym roku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Inflation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Reduction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Act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. P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akiet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zakładający przeznaczenie prawie 370 mld USD na projekty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obejmuje m.in. granty i tymczasowe zwolnienia z podatków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dla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firm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związanych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z zieloną energią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. J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uż teraz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widać jego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pozytywny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wpływ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na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inwestycje i rozwój amerykańskiego sektora zielonej energii, który w 2022 roku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po raz pierwszy w historii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wytworzył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więcej energii niż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ośrodki produkcji energii 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z węgla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.</w:t>
      </w:r>
      <w:r w:rsidRPr="4DA1A8F1" w:rsidR="57E01B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l-PL"/>
        </w:rPr>
        <w:t xml:space="preserve"> </w:t>
      </w:r>
      <w:r w:rsidRPr="4DA1A8F1" w:rsidR="57E01B07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</w:t>
      </w:r>
    </w:p>
    <w:p w:rsidR="6D37A894" w:rsidP="29873204" w:rsidRDefault="6D37A894" w14:paraId="7DB23E07" w14:textId="6CBFE512">
      <w:pPr>
        <w:spacing w:after="160" w:line="259" w:lineRule="auto"/>
        <w:ind w:left="708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pl-PL"/>
        </w:rPr>
      </w:pPr>
      <w:r w:rsidRPr="29873204" w:rsidR="6D37A89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“</w:t>
      </w:r>
      <w:r w:rsidRPr="29873204" w:rsidR="6D37A89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Wzrost świadomości </w:t>
      </w:r>
      <w:r w:rsidRPr="29873204" w:rsidR="6D37A89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społeczeństwa w kwestii problemów związanych ze zmianami klimatycznymi skutkuje coraz większym zainteresowaniem inwestycjami w odnawialne źródła energii. Inwestorzy dostrzegają nie tylko możliwości finansowe, ale również społeczne i ekologiczne korzyści płynące z inwestowania w OZE. Taki trend przyczynia się do zwiększenia dostępności kapitału dla </w:t>
      </w:r>
      <w:r w:rsidRPr="29873204" w:rsidR="6D37A89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tego typu </w:t>
      </w:r>
      <w:r w:rsidRPr="29873204" w:rsidR="6D37A89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projektów oraz do szybszego wdrażania innowacyjnych rozwiązań</w:t>
      </w:r>
      <w:r w:rsidRPr="29873204" w:rsidR="6D37A89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” - 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mówi Timur 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Turlov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, 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CEO 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Freedom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Holding Corp. i założyciel 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Freedom</w:t>
      </w:r>
      <w:r w:rsidRPr="29873204" w:rsidR="6D37A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Finance Europe.</w:t>
      </w:r>
    </w:p>
    <w:p w:rsidR="6849CC44" w:rsidP="29873204" w:rsidRDefault="6849CC44" w14:paraId="604A624D" w14:textId="17476AC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</w:pP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Wzrost popytu na innowacyjne rozwiązania w dziedzinie energii odnawialnej, wspierane przez korzystne zachęty rządowe, tworzy sprzyjające środowisko regulacyjne dla firm z tego obszaru. To z kolei przyczynia się do rosnącej konkurencyjności i rozwoju sektora OZE,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na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czym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może skorzystać zarówno środowisko, jak i światowa gospodarka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.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O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rosnącym potencjale tej branży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świadczą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auto"/>
          <w:sz w:val="22"/>
          <w:szCs w:val="22"/>
          <w:u w:val="none"/>
          <w:lang w:val="pl-PL"/>
        </w:rPr>
        <w:t>,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chociażby wyniki finansowe największych firm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skupiających swoją działalność na odnawialnych źródłach energii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.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Array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Technologies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,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przedsiębiorstwo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zajmując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e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się produkcją i dostarczaniem inteligentnych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system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ów śledzenia ruchu Słoń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ca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,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w pierwszym kwartale tego roku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odnotował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o wzrost przychodów o 25% w porównaniu do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roku poprzedniego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.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W analogicznym okresie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firma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Sunnova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Energy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,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producent paneli fotowoltaicznych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,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odnotowała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rekordowy,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trzycyfrowy wzrost przychodów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wynoszący 146%</w:t>
      </w:r>
      <w:r w:rsidRPr="29873204" w:rsidR="6849C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. </w:t>
      </w:r>
      <w:r w:rsidRPr="29873204" w:rsidR="563DF9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Również na rodzimym podwórku można zaobserwować wzrost znaczenia energii produkowanej ze źródeł odnawialnych. </w:t>
      </w:r>
      <w:r w:rsidRPr="29873204" w:rsidR="3E5BAE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Jak wynika z raportu przygotowanego przez Instytut Energii Odnawialnej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, </w:t>
      </w:r>
      <w:r w:rsidRPr="29873204" w:rsidR="54D234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n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a koniec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2022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</w:t>
      </w:r>
      <w:r w:rsidRPr="29873204" w:rsidR="14B1C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oku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144925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m</w:t>
      </w:r>
      <w:r w:rsidRPr="29873204" w:rsidR="14204B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oc zainstalowana w instalacjach fotowoltaicznych w Polsce przekroczyła 12,4 GW</w:t>
      </w:r>
      <w:r w:rsidRPr="29873204" w:rsidR="0D1082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, notując rekordowy</w:t>
      </w:r>
      <w:r w:rsidRPr="29873204" w:rsidR="14204B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roczny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przyrost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ponad 4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,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7 GW nowych mocy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oraz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imponujące tempo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0F58F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wzrostu rynku - o 61</w:t>
      </w:r>
      <w:r w:rsidRPr="29873204" w:rsidR="6EBBA5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%.</w:t>
      </w:r>
    </w:p>
    <w:p w:rsidR="4E1C96E7" w:rsidP="29873204" w:rsidRDefault="4E1C96E7" w14:paraId="3687F35A" w14:textId="26A1CDFC">
      <w:pPr>
        <w:spacing w:after="160" w:line="259" w:lineRule="auto"/>
        <w:ind w:left="708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“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Sektor odnawialnych źródeł energii ma ogromny potencjał wzrostu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czego dowodem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są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wyniki finansowe firm takich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jak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Array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Technologie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s,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czy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Sunnova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Energy.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35B80F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Widać to również</w:t>
      </w:r>
      <w:r w:rsidRPr="29873204" w:rsidR="6F943C8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 rynkach </w:t>
      </w:r>
      <w:r w:rsidRPr="29873204" w:rsidR="3A20FB2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szybko</w:t>
      </w:r>
      <w:r w:rsidRPr="29873204" w:rsidR="6F943C8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rozwijających się</w:t>
      </w:r>
      <w:r w:rsidRPr="29873204" w:rsidR="35B80F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takich jak Polska, że </w:t>
      </w:r>
      <w:r w:rsidRPr="29873204" w:rsidR="35B80F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rozwój OZE znacząco przyspieszył w ostatnich kilku latach.</w:t>
      </w:r>
      <w:r w:rsidRPr="29873204" w:rsidR="35B80F7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Co więcej, p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rognozy pokazują, że rynek adresowalny (TAM)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czyli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wskaźnik obejmujący całkowitą liczbę potencjalnych klientów zainteresowanych produktami i usługami oferowanymi przez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przedsiębiorstwa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branży energii słonecznej,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będzie rosnąć średnio o 16,5% rocznie do 2030 roku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co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tylko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potwierdza stabilność </w:t>
      </w:r>
      <w:r w:rsidRPr="29873204" w:rsidR="5F0BB15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 potencjał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całej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branży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dodaje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="4E1C96E7" w:rsidP="29873204" w:rsidRDefault="4E1C96E7" w14:paraId="63C5CDB9" w14:textId="20EEBEE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</w:pP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Jak zauważa ekspert, tak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dynamiczny wzrost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całego sektora jest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w dużej mierze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wynikiem spadku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kosztów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produkcji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energii pozyskiwanej z odnawialnych źró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deł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, za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uważalnego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w ostatnich latach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. Co więcej,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według przewidywań,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ten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trend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utrzyma się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, pozytywnie wpływają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c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na upowszechnienie dostępności tych technologii.  Od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notowany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w minionym roku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wzrost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cen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surowców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,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szczególnie w Europie, skł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ania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konsumentów do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rozważań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dotyczących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niezawodności i dostępności tradycyjnych źródeł energii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. Te czynniki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: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łatwiejsze pozyskiwanie energii z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e źródeł odnawialnych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i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zmiana podejścia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d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o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paliw tradycyjnych,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stwarzają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idealne warunki do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dalszego rozwoju i ekspansji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sektora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OZE.</w:t>
      </w:r>
    </w:p>
    <w:p w:rsidR="4E1C96E7" w:rsidP="29873204" w:rsidRDefault="4E1C96E7" w14:paraId="0FD85588" w14:textId="0A819544">
      <w:pPr>
        <w:spacing w:after="160" w:line="259" w:lineRule="auto"/>
        <w:ind w:left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“Odnawialne źródła energii stają się kluczowym elementem transformacji nasz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ego społeczeństwa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kierunku bardziej zrównoważonej przyszłości. Zrozumienie potencjału rozwojowego tych technologii i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przemyślane inwestycje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zarówno na poziomie lokalnym, jak i globalnym, 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są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niezbędne dla osiągnięcia stabilnego i ekologicznie odpowiedzialnego rozwoju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naszej planety</w:t>
      </w:r>
      <w:r w:rsidRPr="29873204" w:rsidR="4E1C96E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" -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konkluduje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Timur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Turlov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="4E1C96E7" w:rsidP="29873204" w:rsidRDefault="4E1C96E7" w14:paraId="571D3035" w14:textId="53A0E02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Rozwój sektora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OZE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jest </w:t>
      </w:r>
      <w:r w:rsidRPr="29873204" w:rsidR="742F8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niezwykle ważny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dla osiągnięcia celów zrównoważonego rozwoju i redukcji emisji gazów cieplarnianych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Transformacja energetyczna oparta na energii ze źródeł odnawialnych przyciąga inwestorów, ale jest również wyzwaniem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. To, czy i w jaki sposób firmy się z nim zmierzą</w:t>
      </w:r>
      <w:r w:rsidRPr="29873204" w:rsidR="5FCAF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 w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najbliższych latach pokaże,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czy 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>jesteśmy gotowi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  <w:t xml:space="preserve"> na zaangażowanie w długoterminową str</w:t>
      </w:r>
      <w:r w:rsidRPr="29873204" w:rsidR="4E1C96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ategię i wdrażanie środków w celu osiągnięcia bardziej ekologicznej i zrównoważonej przyszłości.</w:t>
      </w:r>
    </w:p>
    <w:p w:rsidR="29873204" w:rsidP="29873204" w:rsidRDefault="29873204" w14:paraId="73D3BC75" w14:textId="45603AE1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C960202" w:rsidP="29873204" w:rsidRDefault="1C960202" w14:paraId="686FCC30" w14:textId="096BE2D3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9873204" w:rsidR="1C960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***</w:t>
      </w:r>
    </w:p>
    <w:p w:rsidR="1C960202" w:rsidP="29873204" w:rsidRDefault="1C960202" w14:paraId="7C6AE92A" w14:textId="4877421E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29873204" w:rsidR="1C960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29873204" w:rsidR="1C960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</w:t>
      </w:r>
      <w:r w:rsidRPr="29873204" w:rsidR="1C960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międzynarodowy broker internetowy znany pod marką Freedom24, należący do międzynarodowej grupy inwestycyjnej </w:t>
      </w:r>
      <w:r w:rsidRPr="29873204" w:rsidR="1C960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29873204" w:rsidR="1C960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Akcje holdingu notowane są na giełdzie NASDAQ, a jego działalność jest regulowana przez amerykańską Komisję Papierów Wartościowych i Giełd (SEC). </w:t>
      </w:r>
      <w:r w:rsidRPr="29873204" w:rsidR="1C960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29873204" w:rsidR="1C960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 oferuje swoim klientom bezpośredni dostęp do największych światowych giełd papierów wartościowych, profesjonalną analitykę papierów wartościowych oraz dedykowane aplikacje handlowe.</w:t>
      </w:r>
    </w:p>
    <w:p w:rsidR="29873204" w:rsidP="29873204" w:rsidRDefault="29873204" w14:paraId="76F83377" w14:textId="0015C9C8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C960202" w:rsidP="29873204" w:rsidRDefault="1C960202" w14:paraId="48BF3152" w14:textId="21B7C8AC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9873204" w:rsidR="1C960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Więcej informacji można znaleźć na stronie internetowej: </w:t>
      </w:r>
      <w:hyperlink r:id="R457f9da18c254908">
        <w:r w:rsidRPr="29873204" w:rsidR="1C96020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www.freedom24.com</w:t>
        </w:r>
      </w:hyperlink>
    </w:p>
    <w:p w:rsidR="29873204" w:rsidP="29873204" w:rsidRDefault="29873204" w14:paraId="14BD5064" w14:textId="51E6F7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9873204" w:rsidP="29873204" w:rsidRDefault="29873204" w14:paraId="05C83058" w14:textId="01FF1496">
      <w:pPr>
        <w:pStyle w:val="Normal"/>
        <w:spacing w:after="160" w:line="259" w:lineRule="auto"/>
        <w:ind w:left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9873204" w:rsidP="29873204" w:rsidRDefault="29873204" w14:paraId="692410D7" w14:textId="5D7D6CB0">
      <w:pPr>
        <w:pStyle w:val="Normal"/>
        <w:spacing w:after="160" w:line="259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</w:p>
    <w:p w:rsidR="29873204" w:rsidP="29873204" w:rsidRDefault="29873204" w14:paraId="2175F8DC" w14:textId="64F919CF">
      <w:pPr>
        <w:pStyle w:val="Normal"/>
        <w:spacing w:after="160" w:line="259" w:lineRule="auto"/>
        <w:ind w:left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</w:pPr>
    </w:p>
    <w:p w:rsidR="29873204" w:rsidP="29873204" w:rsidRDefault="29873204" w14:paraId="3F85C617" w14:textId="315447F8">
      <w:pPr>
        <w:pStyle w:val="Normal"/>
        <w:spacing w:after="160" w:line="259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</w:p>
    <w:p w:rsidR="29873204" w:rsidP="29873204" w:rsidRDefault="29873204" w14:paraId="5E0EBB99" w14:textId="3680CBEB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pl-PL"/>
        </w:rPr>
      </w:pPr>
    </w:p>
    <w:p xmlns:wp14="http://schemas.microsoft.com/office/word/2010/wordml" w:rsidP="6629F9B0" wp14:paraId="57375426" wp14:textId="7CD9309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da69bb2372c445e"/>
      <w:footerReference w:type="default" r:id="Racf9f31117954e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29F9B0" w:rsidTr="6629F9B0" w14:paraId="10A4048D">
      <w:trPr>
        <w:trHeight w:val="300"/>
      </w:trPr>
      <w:tc>
        <w:tcPr>
          <w:tcW w:w="3005" w:type="dxa"/>
          <w:tcMar/>
        </w:tcPr>
        <w:p w:rsidR="6629F9B0" w:rsidP="6629F9B0" w:rsidRDefault="6629F9B0" w14:paraId="5DEF2E1B" w14:textId="1B457CA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629F9B0" w:rsidP="6629F9B0" w:rsidRDefault="6629F9B0" w14:paraId="64978567" w14:textId="5125ABF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629F9B0" w:rsidP="6629F9B0" w:rsidRDefault="6629F9B0" w14:paraId="6AE291E3" w14:textId="7ECF45BD">
          <w:pPr>
            <w:pStyle w:val="Header"/>
            <w:bidi w:val="0"/>
            <w:ind w:right="-115"/>
            <w:jc w:val="right"/>
          </w:pPr>
        </w:p>
      </w:tc>
    </w:tr>
  </w:tbl>
  <w:p w:rsidR="6629F9B0" w:rsidP="6629F9B0" w:rsidRDefault="6629F9B0" w14:paraId="2D258369" w14:textId="143A8FB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29F9B0" w:rsidTr="6629F9B0" w14:paraId="55D58EB3">
      <w:trPr>
        <w:trHeight w:val="300"/>
      </w:trPr>
      <w:tc>
        <w:tcPr>
          <w:tcW w:w="3005" w:type="dxa"/>
          <w:tcMar/>
        </w:tcPr>
        <w:p w:rsidR="6629F9B0" w:rsidP="6629F9B0" w:rsidRDefault="6629F9B0" w14:paraId="15BBB8C4" w14:textId="308E85A3">
          <w:pPr>
            <w:pStyle w:val="Header"/>
            <w:bidi w:val="0"/>
            <w:ind w:left="-115"/>
            <w:jc w:val="left"/>
          </w:pPr>
          <w:r w:rsidR="6629F9B0">
            <w:drawing>
              <wp:inline wp14:editId="0DF5A14D" wp14:anchorId="4558A77E">
                <wp:extent cx="1333500" cy="400050"/>
                <wp:effectExtent l="0" t="0" r="0" b="0"/>
                <wp:docPr id="20718392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4ca63d7c8654ab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6629F9B0" w:rsidP="6629F9B0" w:rsidRDefault="6629F9B0" w14:paraId="4F752BFB" w14:textId="7EC979F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629F9B0" w:rsidP="6629F9B0" w:rsidRDefault="6629F9B0" w14:paraId="42EB83D4" w14:textId="5179478B">
          <w:pPr>
            <w:pStyle w:val="Header"/>
            <w:bidi w:val="0"/>
            <w:ind w:right="-115"/>
            <w:jc w:val="right"/>
          </w:pPr>
        </w:p>
      </w:tc>
    </w:tr>
  </w:tbl>
  <w:p w:rsidR="6629F9B0" w:rsidP="6629F9B0" w:rsidRDefault="6629F9B0" w14:paraId="6CDF0BD2" w14:textId="16BC115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69D456"/>
    <w:rsid w:val="08A3CC3F"/>
    <w:rsid w:val="0D1082FB"/>
    <w:rsid w:val="0D53C0FD"/>
    <w:rsid w:val="0F58FF5B"/>
    <w:rsid w:val="12AFC8D5"/>
    <w:rsid w:val="1355DC34"/>
    <w:rsid w:val="13D403C2"/>
    <w:rsid w:val="14204B8D"/>
    <w:rsid w:val="14492552"/>
    <w:rsid w:val="14B1C040"/>
    <w:rsid w:val="168CC07B"/>
    <w:rsid w:val="1A9CED00"/>
    <w:rsid w:val="1B6DCA0B"/>
    <w:rsid w:val="1C960202"/>
    <w:rsid w:val="1DD48DC2"/>
    <w:rsid w:val="210CC5FC"/>
    <w:rsid w:val="24E97FCF"/>
    <w:rsid w:val="274100ED"/>
    <w:rsid w:val="2898CBE6"/>
    <w:rsid w:val="293D1BA9"/>
    <w:rsid w:val="29873204"/>
    <w:rsid w:val="2E16B910"/>
    <w:rsid w:val="312A3FD4"/>
    <w:rsid w:val="32485D50"/>
    <w:rsid w:val="35B80F70"/>
    <w:rsid w:val="3A20FB23"/>
    <w:rsid w:val="3B6D05DD"/>
    <w:rsid w:val="3D6220CC"/>
    <w:rsid w:val="3E5BAEFD"/>
    <w:rsid w:val="3FF24100"/>
    <w:rsid w:val="40ECF45F"/>
    <w:rsid w:val="4222A323"/>
    <w:rsid w:val="43D4BC4F"/>
    <w:rsid w:val="46D117DA"/>
    <w:rsid w:val="484C6C06"/>
    <w:rsid w:val="4907CF44"/>
    <w:rsid w:val="4D5E4853"/>
    <w:rsid w:val="4DA1A8F1"/>
    <w:rsid w:val="4E1C96E7"/>
    <w:rsid w:val="510778DF"/>
    <w:rsid w:val="5146B7EF"/>
    <w:rsid w:val="51B2A454"/>
    <w:rsid w:val="54D2342D"/>
    <w:rsid w:val="563DF9DC"/>
    <w:rsid w:val="57E01B07"/>
    <w:rsid w:val="57FD1B71"/>
    <w:rsid w:val="5F0BB155"/>
    <w:rsid w:val="5FCAF40B"/>
    <w:rsid w:val="62F258EE"/>
    <w:rsid w:val="648E294F"/>
    <w:rsid w:val="6629F9B0"/>
    <w:rsid w:val="67B08D63"/>
    <w:rsid w:val="6849CC44"/>
    <w:rsid w:val="694C5DC4"/>
    <w:rsid w:val="6969D456"/>
    <w:rsid w:val="6B52CD83"/>
    <w:rsid w:val="6D32132A"/>
    <w:rsid w:val="6D37A894"/>
    <w:rsid w:val="6EBBA532"/>
    <w:rsid w:val="6F943C8F"/>
    <w:rsid w:val="742F86CC"/>
    <w:rsid w:val="79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D456"/>
  <w15:chartTrackingRefBased/>
  <w15:docId w15:val="{63B31C30-185D-4843-B180-C876B20E05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acf9f31117954e6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8da69bb2372c445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freedom24.com/" TargetMode="External" Id="R457f9da18c25490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4ca63d7c8654a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0722D224-22C8-4441-A71F-3603D85783C8}"/>
</file>

<file path=customXml/itemProps2.xml><?xml version="1.0" encoding="utf-8"?>
<ds:datastoreItem xmlns:ds="http://schemas.openxmlformats.org/officeDocument/2006/customXml" ds:itemID="{858AFCF7-0920-4C26-B3F7-4BF14CA097C7}"/>
</file>

<file path=customXml/itemProps3.xml><?xml version="1.0" encoding="utf-8"?>
<ds:datastoreItem xmlns:ds="http://schemas.openxmlformats.org/officeDocument/2006/customXml" ds:itemID="{28032C9D-EF3F-4496-89C1-0C0060DDC7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 Węglarz</dc:creator>
  <keywords/>
  <dc:description/>
  <lastModifiedBy>Justyna  Węglarz</lastModifiedBy>
  <dcterms:created xsi:type="dcterms:W3CDTF">2023-08-02T11:04:06.0000000Z</dcterms:created>
  <dcterms:modified xsi:type="dcterms:W3CDTF">2023-08-03T11:26:21.9388337Z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