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91B14B" w:rsidP="240D40EC" w:rsidRDefault="7191B14B" w14:paraId="7A36F264" w14:textId="678DABE5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0D40EC" w:rsidR="7191B1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Freedom</w:t>
      </w:r>
      <w:r w:rsidRPr="240D40EC" w:rsidR="7191B1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Holding Corp. </w:t>
      </w:r>
      <w:r w:rsidRPr="240D40EC" w:rsidR="4009D92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ogłasza wyniki kwartalne i przyrost nowych klientów w Polsce</w:t>
      </w:r>
    </w:p>
    <w:p xmlns:wp14="http://schemas.microsoft.com/office/word/2010/wordml" w:rsidP="240D40EC" wp14:paraId="53DD892F" wp14:textId="56A91ED1">
      <w:pPr>
        <w:pStyle w:val="Normal"/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Corp., założyciel </w:t>
      </w: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Finance Europe, opublikował wyniki finansowe za I kwartał roku fiskalnego 2024, który zakończył się 30 czerwca 2023 roku. Przychody holdingu w tym okresie osiągnęły 316,2 mln dolarów, co oznacza wzrost o 83% w porównaniu z rokiem poprzednim. Wyniki te zbiegają się z czwartą rocznicą notowania firmy na</w:t>
      </w:r>
      <w:r w:rsidRPr="240D40EC" w:rsidR="067492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amerykańskiej giełdzie</w:t>
      </w: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</w:t>
      </w:r>
      <w:r w:rsidRPr="240D40EC" w:rsidR="5BB0EE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ASDAQ</w:t>
      </w:r>
      <w:r w:rsidRPr="240D40EC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W ciągu tego okresu wartość holdingu przekroczyła 5 miliardów dolarów. </w:t>
      </w:r>
      <w:r w:rsidRPr="240D40EC" w:rsidR="40ECAD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Także w Polsce firma dynamiczne rośnie i odnotowuje wzrost liczby klientów o 18% w porównaniu do poprzedniego kwartału.   </w:t>
      </w:r>
    </w:p>
    <w:p xmlns:wp14="http://schemas.microsoft.com/office/word/2010/wordml" w:rsidP="30095564" wp14:paraId="19A9E2DD" wp14:textId="451FAAD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Tak dobre wyniki wynikają w głównej mierze z dynamicznego rozwoju holdingu w trzech kluczowych obszarach. Firma odnotowała 100,7 milionów dolarów przychodów z odsetek, co stanowi wzrost o 207,5%. Ponadto, zyski netto z handlu papierami wartościowymi wzrosły o 617,7% (27,3 milionów dolarów), a przychody z ubezpieczeń zwiększyły się o 85.2%, generując dodatkowe 20.6 milionów dolarów.</w:t>
      </w:r>
    </w:p>
    <w:p xmlns:wp14="http://schemas.microsoft.com/office/word/2010/wordml" w:rsidP="30095564" wp14:paraId="7048FB25" wp14:textId="637583D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Jak można przeczytać w 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pl-PL"/>
        </w:rPr>
        <w:t xml:space="preserve">sprawozdaniu finansowym </w:t>
      </w:r>
      <w:hyperlink r:id="Raaafe66045ba4723">
        <w:r w:rsidRPr="30095564" w:rsidR="1AA820B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firmy</w:t>
        </w:r>
      </w:hyperlink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pl-PL"/>
        </w:rPr>
        <w:t>,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okresie od 1 kwietnia do 30 czerwca 2023 roku, 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zanotował wzrost wydatków o 92% (111,1 milionów dolarów). Spowodowane one były w dużej mierze dynamicznym rozwojem firmy, integracją celów akwizycyjnych, a także ekspansją na nowe rynki, w tym na rynek polski.</w:t>
      </w:r>
    </w:p>
    <w:p xmlns:wp14="http://schemas.microsoft.com/office/word/2010/wordml" w:rsidP="30095564" wp14:paraId="3C425167" wp14:textId="31B44454">
      <w:pPr>
        <w:spacing w:before="0" w:beforeAutospacing="off" w:after="160" w:afterAutospacing="off" w:line="259" w:lineRule="auto"/>
        <w:ind w:left="708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0095564" w:rsidR="1AA820B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"Nasze wyniki są mocnym wskaźnikiem zdolności firmy do generowania zysków, kontynuowania wzrostu i efektywnego zarządzania działaniami biznesowymi. Tym bardziej jesteśmy dumni, że ekspansja firmy dotarła również do polskich klientów. Od momentu pojawienia się w Polsce w 2021, poprzez otwarcie pierwszego polskiego biura w Warszawie we wrześniu br., czujemy, że zyskujemy coraz większe uznanie i zaufanie Polaków. W mijającym kwartale odnotowaliśmy wzrost liczby polskich klientów o 18%, co dowodzi, że nasza obecność na tutejszym rynku przynosi konkretne rezultaty” 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mówi Olena Bondar, dyrektor polskiego biura Freedom Finance Europe.</w:t>
      </w:r>
    </w:p>
    <w:p xmlns:wp14="http://schemas.microsoft.com/office/word/2010/wordml" w:rsidP="30095564" wp14:paraId="6D063572" wp14:textId="04CC7DEC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Polska od dawna była przedmiotem zainteresowania firmy ze względu na jej dynamiczny rozwój, rosnące możliwości biznesowe i stabilną gospodarkę w regionie. Imponujące wyniki finansowe oraz utworzenie kolejnego przedstawicielstwa firmy w Europie, tym razem w Warszawie, zbiegły się w czasie z czwartą rocznicą debiutu Freedom Holding Corp. na giełdzie Nasdaq. Jak wskazuje przedstawicielka firmy, jest to symbol stałego wzrostu i zaplanowanej strategii łączącej wyniki finansowe z rozbudową infrastruktury operacyjnej w kluczowym dla firmy obszarze Europy Środkowo-Wschodniej.</w:t>
      </w:r>
    </w:p>
    <w:p xmlns:wp14="http://schemas.microsoft.com/office/word/2010/wordml" w:rsidP="240D40EC" wp14:paraId="1E39598C" wp14:textId="308B7A8A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0D40EC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</w:t>
      </w:r>
      <w:r w:rsidRPr="240D40EC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Holding Corp. zadebiutował na giełdzie </w:t>
      </w:r>
      <w:r w:rsidRPr="240D40EC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Nasdaq</w:t>
      </w:r>
      <w:r w:rsidRPr="240D40EC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Capital Market 15 października 2019 roku. Wtedy też firma była wyceniana na 800 milionów dolarów, a jej akcje zaczęły być notowane pod symbolem FRHC po cenie 14,42 dolarów. Cztery lata później, kapitalizacja holdingu wzrosła sześciokrotnie do 5 miliardów dolarów, a jednostkowa cena akcji przekroczyła 84 dola</w:t>
      </w:r>
      <w:r w:rsidRPr="240D40EC" w:rsidR="2767B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ry</w:t>
      </w:r>
      <w:r w:rsidRPr="240D40EC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osiągając 100 dolarów w rekordowym momencie. Dziś firma świadczy usługi bankowe, ubezpieczeniowe i maklerskie w Stanach Zjednoczonych, Europie i Azji Środkowej, a Freedom24 - platforma handlowa firmy, jest używana przez prawie 400 000 klientów na całym świecie.</w:t>
      </w:r>
    </w:p>
    <w:p xmlns:wp14="http://schemas.microsoft.com/office/word/2010/wordml" w:rsidP="30095564" wp14:paraId="4CAE10C9" wp14:textId="3DADDA0E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093FC56D" wp14:textId="74E9DFB2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1E345442" wp14:textId="09373638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5FCEBC9E" wp14:textId="0D794FC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***</w:t>
      </w:r>
    </w:p>
    <w:p xmlns:wp14="http://schemas.microsoft.com/office/word/2010/wordml" w:rsidP="30095564" wp14:paraId="6044CBBD" wp14:textId="7EF07E95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65B53986" wp14:textId="534EB8EA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0095564" w:rsidR="1AA820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Freedom Finance Europe</w:t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międzynarodowy broker internetowy znany pod marką Freedom24, należący do międzynarodowej grupy inwestycyjnej Freedom Holding Corp. Akcje holdingu notowane są na giełdzie NASDAQ, a jego działalność jest regulowana przez amerykańską Komisję Papierów Wartościowych i Giełd (SEC). Freedom Finance Europe oferuje swoim klientom bezpośredni dostęp do największych światowych giełd papierów wartościowych, profesjonalną analitykę papierów wartościowych oraz dedykowane aplikacje handlowe. </w:t>
      </w:r>
      <w:r>
        <w:br/>
      </w:r>
      <w:r>
        <w:br/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Platforma Freedom24 jest dostępna dla użytkowników w Polsce od 2021 roku z biurem przedstawicielskim zlokalizowanym w Warszawie oferującym wsparcie użytkownikom w języku polskim.  </w:t>
      </w:r>
      <w:r>
        <w:br/>
      </w:r>
      <w:r>
        <w:br/>
      </w:r>
      <w:r w:rsidRPr="30095564" w:rsidR="1AA820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Więcej informacji można znaleźć na stronie internetowej: </w:t>
      </w:r>
      <w:hyperlink r:id="Rf200cc536edd41dc">
        <w:r w:rsidRPr="30095564" w:rsidR="1AA820B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www.freedom24.com</w:t>
        </w:r>
      </w:hyperlink>
    </w:p>
    <w:p xmlns:wp14="http://schemas.microsoft.com/office/word/2010/wordml" w:rsidP="30095564" wp14:paraId="43E5A4D4" wp14:textId="1168B9AA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55752388" wp14:textId="0E6EF0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23E811F7" wp14:textId="27167A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0095564" wp14:paraId="57375426" wp14:textId="2D8BF20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52bc1e6c51e4c47"/>
      <w:footerReference w:type="default" r:id="R0e7890f3a5154d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095564" w:rsidTr="30095564" w14:paraId="6AE1C1C6">
      <w:trPr>
        <w:trHeight w:val="300"/>
      </w:trPr>
      <w:tc>
        <w:tcPr>
          <w:tcW w:w="3005" w:type="dxa"/>
          <w:tcMar/>
        </w:tcPr>
        <w:p w:rsidR="30095564" w:rsidP="30095564" w:rsidRDefault="30095564" w14:paraId="588ACECF" w14:textId="195B76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095564" w:rsidP="30095564" w:rsidRDefault="30095564" w14:paraId="15596AE0" w14:textId="37AB2B8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095564" w:rsidP="30095564" w:rsidRDefault="30095564" w14:paraId="0A4E3DF1" w14:textId="6088195E">
          <w:pPr>
            <w:pStyle w:val="Header"/>
            <w:bidi w:val="0"/>
            <w:ind w:right="-115"/>
            <w:jc w:val="right"/>
          </w:pPr>
        </w:p>
      </w:tc>
    </w:tr>
  </w:tbl>
  <w:p w:rsidR="30095564" w:rsidP="30095564" w:rsidRDefault="30095564" w14:paraId="4C245E14" w14:textId="5FEB006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095564" w:rsidTr="30095564" w14:paraId="2DF247C2">
      <w:trPr>
        <w:trHeight w:val="300"/>
      </w:trPr>
      <w:tc>
        <w:tcPr>
          <w:tcW w:w="3005" w:type="dxa"/>
          <w:tcMar/>
        </w:tcPr>
        <w:p w:rsidR="30095564" w:rsidP="30095564" w:rsidRDefault="30095564" w14:paraId="2E62E0B8" w14:textId="7DA5530D">
          <w:pPr>
            <w:pStyle w:val="Header"/>
            <w:bidi w:val="0"/>
            <w:ind w:left="-115"/>
            <w:jc w:val="left"/>
          </w:pPr>
          <w:r w:rsidR="30095564">
            <w:drawing>
              <wp:inline wp14:editId="66402130" wp14:anchorId="16755FEA">
                <wp:extent cx="1333500" cy="400050"/>
                <wp:effectExtent l="0" t="0" r="0" b="0"/>
                <wp:docPr id="156137954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e9cda5c21e64aa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30095564" w:rsidP="30095564" w:rsidRDefault="30095564" w14:paraId="62DCB4DD" w14:textId="2F3F3AE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095564" w:rsidP="30095564" w:rsidRDefault="30095564" w14:paraId="5924736E" w14:textId="4ABAD192">
          <w:pPr>
            <w:pStyle w:val="Header"/>
            <w:bidi w:val="0"/>
            <w:ind w:right="-115"/>
            <w:jc w:val="right"/>
          </w:pPr>
        </w:p>
        <w:p w:rsidR="30095564" w:rsidP="30095564" w:rsidRDefault="30095564" w14:paraId="6B453466" w14:textId="6F830E9E">
          <w:pPr>
            <w:pStyle w:val="Header"/>
            <w:bidi w:val="0"/>
            <w:ind w:right="-115"/>
            <w:jc w:val="right"/>
          </w:pPr>
        </w:p>
        <w:p w:rsidR="30095564" w:rsidP="30095564" w:rsidRDefault="30095564" w14:paraId="5773361A" w14:textId="478754E7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noProof w:val="0"/>
              <w:lang w:val="pl-PL"/>
            </w:rPr>
          </w:pPr>
          <w:r w:rsidRPr="30095564" w:rsidR="30095564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  <w:t>Informacja prasowa</w:t>
          </w:r>
        </w:p>
      </w:tc>
    </w:tr>
  </w:tbl>
  <w:p w:rsidR="30095564" w:rsidP="30095564" w:rsidRDefault="30095564" w14:paraId="7EBB661B" w14:textId="479BDDE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C3141"/>
    <w:rsid w:val="0674924F"/>
    <w:rsid w:val="0BB15B9F"/>
    <w:rsid w:val="0BF0DBDA"/>
    <w:rsid w:val="0C87AE57"/>
    <w:rsid w:val="0EDE5F5D"/>
    <w:rsid w:val="0FAC3141"/>
    <w:rsid w:val="114CDCCE"/>
    <w:rsid w:val="1AA820B5"/>
    <w:rsid w:val="22F8A4C8"/>
    <w:rsid w:val="240D40EC"/>
    <w:rsid w:val="270B4AD5"/>
    <w:rsid w:val="273972CE"/>
    <w:rsid w:val="275BA911"/>
    <w:rsid w:val="2767B9B7"/>
    <w:rsid w:val="27F43778"/>
    <w:rsid w:val="2BD187C8"/>
    <w:rsid w:val="30095564"/>
    <w:rsid w:val="3010FE7B"/>
    <w:rsid w:val="4009D928"/>
    <w:rsid w:val="40ECAD7C"/>
    <w:rsid w:val="41B6678C"/>
    <w:rsid w:val="55C00FBA"/>
    <w:rsid w:val="5BB0EE36"/>
    <w:rsid w:val="5E3BFF39"/>
    <w:rsid w:val="5E6C6770"/>
    <w:rsid w:val="5FD7CF9A"/>
    <w:rsid w:val="620E5674"/>
    <w:rsid w:val="666240CA"/>
    <w:rsid w:val="711BF87A"/>
    <w:rsid w:val="7191B14B"/>
    <w:rsid w:val="7C6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3141"/>
  <w15:chartTrackingRefBased/>
  <w15:docId w15:val="{FE64B115-8E4C-4BBE-A699-047852CD63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0e7890f3a5154d5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sec.gov/ix?doc=%2FArchives%2Fedgar%2Fdata%2F0000924805%2F000092480523000104%2Ffrhc-20230630.htm" TargetMode="External" Id="Raaafe66045ba4723" /><Relationship Type="http://schemas.openxmlformats.org/officeDocument/2006/relationships/hyperlink" Target="http://www.freedom24.com/" TargetMode="External" Id="Rf200cc536edd41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52bc1e6c51e4c4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2e9cda5c21e6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8D579492-0A14-4BDC-B574-1D654BFA968B}"/>
</file>

<file path=customXml/itemProps2.xml><?xml version="1.0" encoding="utf-8"?>
<ds:datastoreItem xmlns:ds="http://schemas.openxmlformats.org/officeDocument/2006/customXml" ds:itemID="{F2C1AA45-8FC2-418C-994F-9582F69E77B8}"/>
</file>

<file path=customXml/itemProps3.xml><?xml version="1.0" encoding="utf-8"?>
<ds:datastoreItem xmlns:ds="http://schemas.openxmlformats.org/officeDocument/2006/customXml" ds:itemID="{53581379-2778-41E7-A48B-DA5F84A337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Węglarz</dc:creator>
  <cp:keywords/>
  <dc:description/>
  <cp:lastModifiedBy>Justyna  Węglarz</cp:lastModifiedBy>
  <dcterms:created xsi:type="dcterms:W3CDTF">2023-10-24T08:35:05Z</dcterms:created>
  <dcterms:modified xsi:type="dcterms:W3CDTF">2023-10-24T11:34:28Z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