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70A6BA" wp14:paraId="2B663C88" wp14:textId="3674DF1C">
      <w:pPr>
        <w:pStyle w:val="Textbody"/>
        <w:widowControl w:val="1"/>
        <w:spacing w:after="12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70A6BA" w:rsidR="4EF3EE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Sztuczna inteligencja – bańka czy przełom?</w:t>
      </w:r>
    </w:p>
    <w:p xmlns:wp14="http://schemas.microsoft.com/office/word/2010/wordml" w:rsidP="5D02A148" wp14:paraId="162C053E" wp14:textId="624831A0">
      <w:pPr>
        <w:pStyle w:val="Textbody"/>
        <w:widowControl w:val="1"/>
        <w:spacing w:after="1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każda nowa technologia, która potencjalnie może mieć kluczowy wpływ na naszą codzienność, sztuczna inteligencja ma entuzjastów i przeciwników. Są ci, którzy twierdzą, że AI już zmienia naszą rzeczywistość na lepsze, podnosząc produktywność, rozszerzając nasze możliwości rozwoju i poznania. Przeciwnicy z kolei wierzą, że niepohamowany rozwój AI, bez odpowiednich regulacji, może kosztować nas utratę pracy, a nawet upadek cywilizacji. </w:t>
      </w:r>
      <w:r w:rsidRPr="5D02A148" w:rsidR="096815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Wielu ekspertów</w:t>
      </w: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uważaj</w:t>
      </w:r>
      <w:r w:rsidRPr="5D02A148" w:rsidR="196BD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również </w:t>
      </w: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AI za bańkę inwestycyjną, która prędzej czy później pęknie. </w:t>
      </w: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Jak jest naprawdę</w:t>
      </w:r>
      <w:r w:rsidRPr="5D02A148" w:rsidR="115BEE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? </w:t>
      </w:r>
    </w:p>
    <w:p xmlns:wp14="http://schemas.microsoft.com/office/word/2010/wordml" w:rsidP="5D02A148" wp14:paraId="53DEE4D8" wp14:textId="6CB85C3A">
      <w:pPr>
        <w:pStyle w:val="Textbody"/>
        <w:widowControl w:val="1"/>
        <w:spacing w:after="120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Przełomy technologiczne zazwyczaj można dostrzec z pewnego dystansu. Po czasie możemy stwierdzić, że komputery osobiste zmieniły naszą rzeczywistość na lepsze i dziś trudno wyobrazić sobie pracę czy rozrywkę bez nich. Analogicznie smartfony – kiedyś były ciekawostką i dopiero pierwszy iPhone podbił rynek, otwierając całkiem nową kategorię urządzeń osobistych, zmieniając nasz sposób komunikacji, to jak funkcjonujemy na co dzień i otwierając zupełnie nowe obszary biznesowe, jak chociażby gry i aplikacje mobilne. Czy sztuczna inteligencja </w:t>
      </w:r>
      <w:r w:rsidRPr="5D02A148" w:rsidR="14822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będzie</w:t>
      </w:r>
      <w:r w:rsidRPr="5D02A148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kolejnym takim przełomem?</w:t>
      </w:r>
    </w:p>
    <w:p xmlns:wp14="http://schemas.microsoft.com/office/word/2010/wordml" w:rsidP="53D5927C" wp14:paraId="171436E1" wp14:textId="76EE9EE3">
      <w:pPr>
        <w:pStyle w:val="Textbody"/>
        <w:widowControl w:val="1"/>
        <w:spacing w:after="120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Nie da się ukryć, że żyjemy w czasach kryzysu. Na początku pandemia i zaburzenia łańcuchów dostaw, inflacja, rosnące napięcia na arenie międzynarodowej, które pokazały, że </w:t>
      </w:r>
      <w:r w:rsidRPr="53D5927C" w:rsidR="6E4FC5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groźba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wojny w XXI wieku nie dotyczy tylko miejsca starcia, ale za sprawą globalizacji ma wpływ na to jak funkcjonuje cały świat, a w szczególności światowa gospodarka.</w:t>
      </w:r>
    </w:p>
    <w:p xmlns:wp14="http://schemas.microsoft.com/office/word/2010/wordml" w:rsidP="53D5927C" wp14:paraId="7955AB86" wp14:textId="17158A8D">
      <w:pPr>
        <w:pStyle w:val="Textbody"/>
        <w:widowControl w:val="1"/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 W ekonomii trudno cokolwiek dokładnie przewidzieć, gdyż jednym z głównych elementów działalności gospodarczej są ludzie i ich zachowania, często irracjonalne, gdyż życie jest pełne paradoksów. Na przykład paradoks oszczędności: jeśli w czasie kryzysu będziemy oszczędzać, a nie wydawać, popyt spadnie, co spowoduje niższe płace i dalszy spadek gospodarczy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mówi Timur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CEO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reedom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Holding Corp. i założyciel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reedom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Finance 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</w:t>
      </w:r>
      <w:r w:rsidRPr="53D5927C" w:rsidR="5BEF5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urope.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 wzorców pozytywnie wpływających na produktywność i wzrost gospodarczy należy paradoks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evonsa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: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jeśli w wyniku postępu technologicznego niektóre zasoby zostaną wykorzystane bardziej efektywnie, może to doprowadzić do wzrostu ich zużycia, a nie spadku. Pomysł ten zawiera odpowiedź na główne pytanie roku: czy wprowadzenie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hatbota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 elementami AI pomoże w rozwoju gospodarczym, czy odwrotnie?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dodaje 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urlov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53D5927C" w:rsidR="4EF3E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</w:p>
    <w:p xmlns:wp14="http://schemas.microsoft.com/office/word/2010/wordml" w:rsidP="5D02A148" wp14:paraId="57375426" wp14:textId="714B5C29">
      <w:pPr>
        <w:pStyle w:val="Normal"/>
        <w:jc w:val="both"/>
      </w:pPr>
      <w:r w:rsidR="5A3BB4F9">
        <w:rPr/>
        <w:t>Po pierwszej fali entuzjazmu technologiami opartymi na sztucznej inteligencji</w:t>
      </w:r>
      <w:r w:rsidR="3DBB8A1D">
        <w:rPr/>
        <w:t>,</w:t>
      </w:r>
      <w:r w:rsidR="5A3BB4F9">
        <w:rPr/>
        <w:t xml:space="preserve"> możemy dostrzec, że obecnie dostępne narzędzia AI nie są tak doskonałe jak je </w:t>
      </w:r>
      <w:r w:rsidR="78FDDAEA">
        <w:rPr/>
        <w:t xml:space="preserve">początkowo </w:t>
      </w:r>
      <w:r w:rsidR="5A3BB4F9">
        <w:rPr/>
        <w:t>przedstawiano. Mamy jeszcze przed sobą wiele do zrobienia, by t</w:t>
      </w:r>
      <w:r w:rsidR="5EEEFE19">
        <w:rPr/>
        <w:t>e</w:t>
      </w:r>
      <w:r w:rsidR="5A3BB4F9">
        <w:rPr/>
        <w:t xml:space="preserve"> narzędzia dorównywały człowiekowi choć w jednym aspekcie, nie wspominając o już o kompleksowym wykonywaniu zróżnicowanych zadań i rozwiązywaniu problemów</w:t>
      </w:r>
      <w:r w:rsidR="5A3BB4F9">
        <w:rPr/>
        <w:t xml:space="preserve">. Jednak w wyniku nagłego </w:t>
      </w:r>
      <w:r w:rsidR="10C50210">
        <w:rPr/>
        <w:t>wzrostu</w:t>
      </w:r>
      <w:r w:rsidR="5A3BB4F9">
        <w:rPr/>
        <w:t xml:space="preserve"> zainteresowania </w:t>
      </w:r>
      <w:r w:rsidR="65EB242B">
        <w:rPr/>
        <w:t>tego rodzaju technologiami,</w:t>
      </w:r>
      <w:r w:rsidR="65479663">
        <w:rPr/>
        <w:t xml:space="preserve"> wygenerowanym przede wszystkim przez </w:t>
      </w:r>
      <w:r w:rsidR="5A3BB4F9">
        <w:rPr/>
        <w:t>Chat GPT</w:t>
      </w:r>
      <w:r w:rsidR="64DFD0BD">
        <w:rPr/>
        <w:t>,</w:t>
      </w:r>
      <w:r w:rsidR="5A3BB4F9">
        <w:rPr/>
        <w:t xml:space="preserve"> większość globalnych firm musi odnieść się do tego trendu i inwestować we własne rozwiązania. </w:t>
      </w:r>
      <w:r w:rsidR="1F8E10D2">
        <w:rPr/>
        <w:t>P</w:t>
      </w:r>
      <w:r w:rsidR="5A3BB4F9">
        <w:rPr/>
        <w:t xml:space="preserve">rzy </w:t>
      </w:r>
      <w:r w:rsidR="6136F1BB">
        <w:rPr/>
        <w:t>tak szybkim</w:t>
      </w:r>
      <w:r w:rsidR="5A3BB4F9">
        <w:rPr/>
        <w:t xml:space="preserve"> tempie rozwoju i entuzjazmie inwestorów już wkrótce sztuczna inteligencja może być realnym wsparciem procesów</w:t>
      </w:r>
      <w:r w:rsidR="7044D800">
        <w:rPr/>
        <w:t xml:space="preserve"> </w:t>
      </w:r>
      <w:r w:rsidR="5A3BB4F9">
        <w:rPr/>
        <w:t xml:space="preserve">biznesowych.  </w:t>
      </w:r>
    </w:p>
    <w:p w:rsidR="451BC545" w:rsidP="5D02A148" w:rsidRDefault="451BC545" w14:paraId="00B4A23D" w14:textId="0BF3E30B">
      <w:pPr>
        <w:pStyle w:val="Normal"/>
        <w:jc w:val="both"/>
      </w:pPr>
      <w:r w:rsidR="451BC545">
        <w:rPr/>
        <w:t xml:space="preserve">Jak zauważa Timur </w:t>
      </w:r>
      <w:r w:rsidR="451BC545">
        <w:rPr/>
        <w:t>Turlov</w:t>
      </w:r>
      <w:r w:rsidR="451BC545">
        <w:rPr/>
        <w:t xml:space="preserve">, dziś AI może być przede wszystkim odpowiedzią na podupadającą demografię krajów Zachodu. </w:t>
      </w:r>
      <w:r w:rsidR="5C2A69E3">
        <w:rPr/>
        <w:t>W</w:t>
      </w:r>
      <w:r w:rsidR="451BC545">
        <w:rPr/>
        <w:t>iele z nich</w:t>
      </w:r>
      <w:r w:rsidR="2B8BC154">
        <w:rPr/>
        <w:t xml:space="preserve"> obecnie</w:t>
      </w:r>
      <w:r w:rsidR="451BC545">
        <w:rPr/>
        <w:t xml:space="preserve"> mierzy się z niewystarczającą liczbą</w:t>
      </w:r>
      <w:r w:rsidR="2555F476">
        <w:rPr/>
        <w:t xml:space="preserve"> ludzi do pracy.</w:t>
      </w:r>
      <w:r w:rsidR="451BC545">
        <w:rPr/>
        <w:t xml:space="preserve"> Inwestycja w AI może również wesprzeć gospodarkę nadwątloną kryzysem</w:t>
      </w:r>
      <w:r w:rsidR="231184DD">
        <w:rPr/>
        <w:t xml:space="preserve"> i w tym obszarze</w:t>
      </w:r>
      <w:r w:rsidR="451BC545">
        <w:rPr/>
        <w:t xml:space="preserve">. Dla przykładu – Niemcy, którzy mierzą się ze spowolnieniem gospodarczym, zapowiedziały, że w ciągu kolejnych dwóch lat zwiększą publiczne wydatki na rozwój sztucznej inteligencji do poziomu miliarda euro. Z kolei USA przeznaczyły do tej pory 3,3 mld dolarów na analogiczne projekty w 2022 r., a łącznie z sektorem prywatnym 47,4 mld dolarów. Natomiast </w:t>
      </w:r>
      <w:r w:rsidR="34C49BD0">
        <w:rPr/>
        <w:t>wydatki Chin</w:t>
      </w:r>
      <w:r w:rsidR="451BC545">
        <w:rPr/>
        <w:t xml:space="preserve"> w tym samym okresie wyniosły 13,4 mld dolarów.  </w:t>
      </w:r>
    </w:p>
    <w:p w:rsidR="376C9853" w:rsidP="5D02A148" w:rsidRDefault="376C9853" w14:paraId="44781D05" w14:textId="1AA2525F">
      <w:pPr>
        <w:pStyle w:val="Normal"/>
        <w:ind w:left="708"/>
        <w:jc w:val="both"/>
      </w:pPr>
      <w:r w:rsidR="376C9853">
        <w:rPr/>
        <w:t xml:space="preserve">– </w:t>
      </w:r>
      <w:r w:rsidRPr="5D02A148" w:rsidR="376C9853">
        <w:rPr>
          <w:i w:val="1"/>
          <w:iCs w:val="1"/>
        </w:rPr>
        <w:t>Twierdzenie, że sztuczna inteligencja pozostawi ludzi bez pracy i spowoduje stagnację gospodarczą, nie ma solidnych podstaw. Wręcz przeciwnie, zebrane dane i stale przeprowadzane badania pokazuj</w:t>
      </w:r>
      <w:r w:rsidRPr="5D02A148" w:rsidR="01EBAF81">
        <w:rPr>
          <w:i w:val="1"/>
          <w:iCs w:val="1"/>
        </w:rPr>
        <w:t>ą, że</w:t>
      </w:r>
      <w:r w:rsidRPr="5D02A148" w:rsidR="376C9853">
        <w:rPr>
          <w:i w:val="1"/>
          <w:iCs w:val="1"/>
        </w:rPr>
        <w:t xml:space="preserve"> </w:t>
      </w:r>
      <w:r w:rsidRPr="5D02A148" w:rsidR="376C9853">
        <w:rPr>
          <w:i w:val="1"/>
          <w:iCs w:val="1"/>
        </w:rPr>
        <w:t>chatboty</w:t>
      </w:r>
      <w:r w:rsidRPr="5D02A148" w:rsidR="376C9853">
        <w:rPr>
          <w:i w:val="1"/>
          <w:iCs w:val="1"/>
        </w:rPr>
        <w:t xml:space="preserve"> oparte na sztucznej inteligencji </w:t>
      </w:r>
      <w:r w:rsidRPr="5D02A148" w:rsidR="1FE7D20A">
        <w:rPr>
          <w:i w:val="1"/>
          <w:iCs w:val="1"/>
        </w:rPr>
        <w:t xml:space="preserve">mogą realnie pomóc </w:t>
      </w:r>
      <w:r w:rsidRPr="5D02A148" w:rsidR="376C9853">
        <w:rPr>
          <w:i w:val="1"/>
          <w:iCs w:val="1"/>
        </w:rPr>
        <w:t>zwiększyć efektywność biznesu. Będzie to</w:t>
      </w:r>
      <w:r w:rsidRPr="5D02A148" w:rsidR="4672F8F4">
        <w:rPr>
          <w:i w:val="1"/>
          <w:iCs w:val="1"/>
        </w:rPr>
        <w:t xml:space="preserve"> również </w:t>
      </w:r>
      <w:r w:rsidRPr="5D02A148" w:rsidR="376C9853">
        <w:rPr>
          <w:i w:val="1"/>
          <w:iCs w:val="1"/>
        </w:rPr>
        <w:t>wymagało coraz większej lic</w:t>
      </w:r>
      <w:r w:rsidRPr="5D02A148" w:rsidR="376C9853">
        <w:rPr>
          <w:i w:val="1"/>
          <w:iCs w:val="1"/>
        </w:rPr>
        <w:t xml:space="preserve">zby </w:t>
      </w:r>
      <w:r w:rsidRPr="5D02A148" w:rsidR="376C9853">
        <w:rPr>
          <w:i w:val="1"/>
          <w:iCs w:val="1"/>
        </w:rPr>
        <w:t>mikrochipów</w:t>
      </w:r>
      <w:r w:rsidRPr="5D02A148" w:rsidR="376C9853">
        <w:rPr>
          <w:i w:val="1"/>
          <w:iCs w:val="1"/>
        </w:rPr>
        <w:t xml:space="preserve"> w centrach danych i technologii opartych na sztucznej inteligencji, z których będzie korzystać coraz większa liczba specjalistów z różnych dziedzin</w:t>
      </w:r>
      <w:r w:rsidR="376C9853">
        <w:rPr/>
        <w:t xml:space="preserve"> – mówi </w:t>
      </w:r>
      <w:r w:rsidR="376C9853">
        <w:rPr/>
        <w:t>Turlov</w:t>
      </w:r>
      <w:r w:rsidR="376C9853">
        <w:rPr/>
        <w:t xml:space="preserve">.  </w:t>
      </w:r>
    </w:p>
    <w:p w:rsidR="7EB147C1" w:rsidP="5D02A148" w:rsidRDefault="7EB147C1" w14:paraId="1C5968A4" w14:textId="6BAAB2D2">
      <w:pPr>
        <w:pStyle w:val="Normal"/>
        <w:ind w:left="0"/>
        <w:jc w:val="both"/>
      </w:pPr>
      <w:r w:rsidR="7EB147C1">
        <w:rPr/>
        <w:t xml:space="preserve">O ile trudno </w:t>
      </w:r>
      <w:r w:rsidR="7EB147C1">
        <w:rPr/>
        <w:t>przewidzieć,</w:t>
      </w:r>
      <w:r w:rsidR="7EB147C1">
        <w:rPr/>
        <w:t xml:space="preserve"> kiedy osiągniemy kolejne przełomy oraz czy rozwój AI nie będzie sztucznie ograniczany przez regulatorów, by chronić użytkowników, to jednego możemy być pewni – w perspektywie długoterminowej rozwiązania oparte o sztuczną inteligencję będą obecne coraz mocniej w naszego</w:t>
      </w:r>
      <w:r w:rsidR="310D324D">
        <w:rPr/>
        <w:t xml:space="preserve"> życia</w:t>
      </w:r>
      <w:r w:rsidR="7EB147C1">
        <w:rPr/>
        <w:t>. W Unii Europejskiej już trwają prace nad regulacją tej technologii</w:t>
      </w:r>
      <w:r w:rsidR="59015DDE">
        <w:rPr/>
        <w:t xml:space="preserve">. </w:t>
      </w:r>
      <w:r w:rsidR="7DFB65F3">
        <w:rPr/>
        <w:t>Również</w:t>
      </w:r>
      <w:r w:rsidR="7EB147C1">
        <w:rPr/>
        <w:t xml:space="preserve"> </w:t>
      </w:r>
      <w:r w:rsidR="7EB147C1">
        <w:rPr/>
        <w:t>w Stanach Zjednoczonych niedawno odbyło się spotkanie przedstawicieli czołowyc</w:t>
      </w:r>
      <w:r w:rsidR="7EB147C1">
        <w:rPr/>
        <w:t xml:space="preserve">h Big </w:t>
      </w:r>
      <w:r w:rsidR="7EB147C1">
        <w:rPr/>
        <w:t>Techów</w:t>
      </w:r>
      <w:r w:rsidR="7EB147C1">
        <w:rPr/>
        <w:t>, takich</w:t>
      </w:r>
      <w:r w:rsidR="195F5689">
        <w:rPr/>
        <w:t xml:space="preserve"> </w:t>
      </w:r>
      <w:r w:rsidR="7EB147C1">
        <w:rPr/>
        <w:t>jak Meta, NVIDIA, Google, Micro</w:t>
      </w:r>
      <w:r w:rsidR="7EB147C1">
        <w:rPr/>
        <w:t xml:space="preserve">soft, </w:t>
      </w:r>
      <w:r w:rsidR="7EB147C1">
        <w:rPr/>
        <w:t>OpenAI</w:t>
      </w:r>
      <w:r w:rsidR="7EB147C1">
        <w:rPr/>
        <w:t xml:space="preserve"> </w:t>
      </w:r>
      <w:r w:rsidR="7EB147C1">
        <w:rPr/>
        <w:t xml:space="preserve">i X (do niedawna Twitter) z Kongresem, by omówić możliwe regulacje, które jednocześnie chroniłyby użytkowników, nie wstrzymując przy tym rozwoju potencjału jaki może dać AI.  </w:t>
      </w:r>
    </w:p>
    <w:p w:rsidR="5005BDFD" w:rsidP="5D02A148" w:rsidRDefault="5005BDFD" w14:paraId="1B932635" w14:textId="2260F3DB">
      <w:pPr>
        <w:pStyle w:val="Normal"/>
        <w:ind w:left="708"/>
        <w:jc w:val="both"/>
      </w:pPr>
      <w:r w:rsidRPr="5D02A148" w:rsidR="5005BDFD">
        <w:rPr>
          <w:i w:val="1"/>
          <w:iCs w:val="1"/>
        </w:rPr>
        <w:t xml:space="preserve">– </w:t>
      </w:r>
      <w:r w:rsidRPr="5D02A148" w:rsidR="0261A889">
        <w:rPr>
          <w:i w:val="1"/>
          <w:iCs w:val="1"/>
        </w:rPr>
        <w:t>W</w:t>
      </w:r>
      <w:r w:rsidRPr="5D02A148" w:rsidR="5005BDFD">
        <w:rPr>
          <w:i w:val="1"/>
          <w:iCs w:val="1"/>
        </w:rPr>
        <w:t xml:space="preserve">arto podkreślić tę tendencję, ponieważ jakościowa zmiana w rozwoju technologii sztucznej inteligencji będzie trwała przez dziesięciolecia. W dzisiejszych czasach wybierając długoterminową strategię inwestycyjną nie można obejść się bez firm związanych ze sztuczną inteligencją. Pod tym względem NVIDIA jest w stanie konkurować z Apple (AAPL) w wyścigu o kapitalizację na poziomie 10 bilionów dolarów. Inwestycje w tym obszarze można dziś porównać do inwestycji w Cisco (CSCO) czy Amazon (AMZN) w szczytowym momencie kryzysu internetowego: ich akcje zachowują bardzo wysoki potencjał wzrostu w horyzoncie 20-30 lat </w:t>
      </w:r>
      <w:r w:rsidR="5005BDFD">
        <w:rPr/>
        <w:t xml:space="preserve">– konkluduje </w:t>
      </w:r>
      <w:r w:rsidR="5005BDFD">
        <w:rPr/>
        <w:t xml:space="preserve">CEO </w:t>
      </w:r>
      <w:r w:rsidR="5005BDFD">
        <w:rPr/>
        <w:t>Fre</w:t>
      </w:r>
      <w:r w:rsidR="5005BDFD">
        <w:rPr/>
        <w:t>edom</w:t>
      </w:r>
      <w:r w:rsidR="5005BDFD">
        <w:rPr/>
        <w:t xml:space="preserve"> Finance.  </w:t>
      </w:r>
    </w:p>
    <w:p w:rsidR="5005BDFD" w:rsidP="5D02A148" w:rsidRDefault="5005BDFD" w14:paraId="5072B82F" w14:textId="60BB7DE1">
      <w:pPr>
        <w:pStyle w:val="Normal"/>
        <w:ind w:left="0"/>
        <w:jc w:val="both"/>
      </w:pPr>
      <w:r w:rsidR="5005BDFD">
        <w:rPr/>
        <w:t xml:space="preserve">Gdziekolwiek doprowadzi nas kolejny przełom technologiczny warto wykorzystać szanse jakie on daje. Z jednej strony światowi giganci inwestujący w AI mają podstawy by generować zysk w skali długoterminowej, z drugiej strony te same narzędzia mogą również pomóc w analizie prowadzonej przez inwestorów. Dziś </w:t>
      </w:r>
      <w:r w:rsidR="7B255A6A">
        <w:rPr/>
        <w:t>jedno jest pewne -</w:t>
      </w:r>
      <w:r w:rsidR="5005BDFD">
        <w:rPr/>
        <w:t xml:space="preserve"> rozwiązania </w:t>
      </w:r>
      <w:r w:rsidR="17F251C8">
        <w:rPr/>
        <w:t xml:space="preserve">oparte o </w:t>
      </w:r>
      <w:r w:rsidR="2BCE4A8D">
        <w:rPr/>
        <w:t>AI</w:t>
      </w:r>
      <w:r w:rsidR="5005BDFD">
        <w:rPr/>
        <w:t xml:space="preserve"> </w:t>
      </w:r>
      <w:r w:rsidR="5005BDFD">
        <w:rPr/>
        <w:t>będą przedmiotem</w:t>
      </w:r>
      <w:r w:rsidR="7944DC87">
        <w:rPr/>
        <w:t xml:space="preserve"> wielu</w:t>
      </w:r>
      <w:r w:rsidR="5005BDFD">
        <w:rPr/>
        <w:t xml:space="preserve"> procesów badawczo-rozwojowych w najbliższych dekadach, a ich wynik może zrewolucjonizować funkcjonowanie we wszystkich aspektach naszego życia. </w:t>
      </w:r>
    </w:p>
    <w:p w:rsidR="3F103B7D" w:rsidP="3F103B7D" w:rsidRDefault="3F103B7D" w14:paraId="197BFC00" w14:textId="2DB8A8B6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3F103B7D" w:rsidP="3F103B7D" w:rsidRDefault="3F103B7D" w14:paraId="3DFD825B" w14:textId="78601F56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38B07CE" w:rsidP="3F103B7D" w:rsidRDefault="238B07CE" w14:paraId="145EB54C" w14:textId="0798466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w:rsidR="3F103B7D" w:rsidP="3F103B7D" w:rsidRDefault="3F103B7D" w14:paraId="5454CC92" w14:textId="3889A6D9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38B07CE" w:rsidP="3F103B7D" w:rsidRDefault="238B07CE" w14:paraId="35BEA262" w14:textId="59AA58E2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F103B7D" w:rsidR="238B07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3F103B7D" w:rsidR="238B07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</w:t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</w:t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Akcje holdingu notowane są na giełdzie NASDAQ, a jego działalność jest regulowana przez amerykańską Komisję Papierów Wartościowych i Giełd (SEC). </w:t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oferuje swoim klientom bezpośredni dostęp do największych światowych giełd papierów wartościowych, profesjonalną analitykę papierów wartościowych oraz dedykowane aplikacje handlowe. </w:t>
      </w:r>
      <w:r>
        <w:br/>
      </w:r>
      <w:r>
        <w:br/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Platforma Freedom24 jest dostępna dla użytkowników w Polsce od 2021 roku z biurem przedstawicielskim zlokalizowanym w Warszawie oferującym wsparcie użytkownikom w języku polskim.  </w:t>
      </w:r>
      <w:r>
        <w:br/>
      </w:r>
      <w:r>
        <w:br/>
      </w:r>
      <w:r w:rsidRPr="3F103B7D" w:rsidR="238B0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52f57fb25532496b">
        <w:r w:rsidRPr="3F103B7D" w:rsidR="238B07C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4803e4f90d3481a"/>
      <w:footerReference w:type="default" r:id="R632be4d90d634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103B7D" w:rsidTr="3F103B7D" w14:paraId="2D7A5550">
      <w:trPr>
        <w:trHeight w:val="300"/>
      </w:trPr>
      <w:tc>
        <w:tcPr>
          <w:tcW w:w="3005" w:type="dxa"/>
          <w:tcMar/>
        </w:tcPr>
        <w:p w:rsidR="3F103B7D" w:rsidP="3F103B7D" w:rsidRDefault="3F103B7D" w14:paraId="271D6D9C" w14:textId="3C4CA86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103B7D" w:rsidP="3F103B7D" w:rsidRDefault="3F103B7D" w14:paraId="090C34F4" w14:textId="5C1EB33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103B7D" w:rsidP="3F103B7D" w:rsidRDefault="3F103B7D" w14:paraId="3078D81A" w14:textId="6EB8557C">
          <w:pPr>
            <w:pStyle w:val="Header"/>
            <w:bidi w:val="0"/>
            <w:ind w:right="-115"/>
            <w:jc w:val="right"/>
          </w:pPr>
        </w:p>
      </w:tc>
    </w:tr>
  </w:tbl>
  <w:p w:rsidR="3F103B7D" w:rsidP="3F103B7D" w:rsidRDefault="3F103B7D" w14:paraId="2FEDFF4B" w14:textId="54AE263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103B7D" w:rsidTr="3F103B7D" w14:paraId="0CEC1E06">
      <w:trPr>
        <w:trHeight w:val="300"/>
      </w:trPr>
      <w:tc>
        <w:tcPr>
          <w:tcW w:w="3005" w:type="dxa"/>
          <w:tcMar/>
        </w:tcPr>
        <w:p w:rsidR="3F103B7D" w:rsidP="3F103B7D" w:rsidRDefault="3F103B7D" w14:paraId="5A2D475A" w14:textId="705BCED5">
          <w:pPr>
            <w:pStyle w:val="Header"/>
            <w:bidi w:val="0"/>
            <w:ind w:left="-115"/>
            <w:jc w:val="left"/>
          </w:pPr>
          <w:r w:rsidR="3F103B7D">
            <w:drawing>
              <wp:inline wp14:editId="18235EC2" wp14:anchorId="306889B0">
                <wp:extent cx="1333500" cy="400050"/>
                <wp:effectExtent l="0" t="0" r="0" b="0"/>
                <wp:docPr id="211641284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710908fe5fd40a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3F103B7D" w:rsidP="3F103B7D" w:rsidRDefault="3F103B7D" w14:paraId="04D311A8" w14:textId="6771489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103B7D" w:rsidP="3F103B7D" w:rsidRDefault="3F103B7D" w14:paraId="44921B4C" w14:textId="3ABE32F8">
          <w:pPr>
            <w:pStyle w:val="Header"/>
            <w:bidi w:val="0"/>
            <w:ind w:right="-115"/>
            <w:jc w:val="right"/>
          </w:pPr>
        </w:p>
      </w:tc>
    </w:tr>
  </w:tbl>
  <w:p w:rsidR="3F103B7D" w:rsidP="3F103B7D" w:rsidRDefault="3F103B7D" w14:paraId="618047FB" w14:textId="42D91E0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4C746"/>
    <w:rsid w:val="0011262D"/>
    <w:rsid w:val="01EBAF81"/>
    <w:rsid w:val="0261A889"/>
    <w:rsid w:val="0266DCD8"/>
    <w:rsid w:val="096815F2"/>
    <w:rsid w:val="0C0DBF1E"/>
    <w:rsid w:val="0EDB53DD"/>
    <w:rsid w:val="10C50210"/>
    <w:rsid w:val="115BEEEA"/>
    <w:rsid w:val="14822440"/>
    <w:rsid w:val="168F3BFA"/>
    <w:rsid w:val="17F251C8"/>
    <w:rsid w:val="195F5689"/>
    <w:rsid w:val="196BD94C"/>
    <w:rsid w:val="19F269EF"/>
    <w:rsid w:val="1C2BD06E"/>
    <w:rsid w:val="1F8E10D2"/>
    <w:rsid w:val="1FE7D20A"/>
    <w:rsid w:val="21220FFA"/>
    <w:rsid w:val="21D1EEA1"/>
    <w:rsid w:val="231184DD"/>
    <w:rsid w:val="238B07CE"/>
    <w:rsid w:val="2555F476"/>
    <w:rsid w:val="27047712"/>
    <w:rsid w:val="28A04773"/>
    <w:rsid w:val="2B8BC154"/>
    <w:rsid w:val="2BCE4A8D"/>
    <w:rsid w:val="310D324D"/>
    <w:rsid w:val="31EFFFF1"/>
    <w:rsid w:val="34A3518E"/>
    <w:rsid w:val="34C49BD0"/>
    <w:rsid w:val="350E7856"/>
    <w:rsid w:val="376C9853"/>
    <w:rsid w:val="3784C746"/>
    <w:rsid w:val="385F4175"/>
    <w:rsid w:val="39E1E979"/>
    <w:rsid w:val="3C401E95"/>
    <w:rsid w:val="3D253667"/>
    <w:rsid w:val="3D32B298"/>
    <w:rsid w:val="3DBB8A1D"/>
    <w:rsid w:val="3EC0C350"/>
    <w:rsid w:val="3ECE82F9"/>
    <w:rsid w:val="3F103B7D"/>
    <w:rsid w:val="451BC545"/>
    <w:rsid w:val="4672F8F4"/>
    <w:rsid w:val="498E0140"/>
    <w:rsid w:val="4C87A097"/>
    <w:rsid w:val="4EDC614E"/>
    <w:rsid w:val="4EF3EE39"/>
    <w:rsid w:val="5005BDFD"/>
    <w:rsid w:val="53D5927C"/>
    <w:rsid w:val="53EAA50E"/>
    <w:rsid w:val="59015DDE"/>
    <w:rsid w:val="5A3BB4F9"/>
    <w:rsid w:val="5BEF5F8C"/>
    <w:rsid w:val="5C2A69E3"/>
    <w:rsid w:val="5D02A148"/>
    <w:rsid w:val="5DCF88BF"/>
    <w:rsid w:val="5EEEFE19"/>
    <w:rsid w:val="6136F1BB"/>
    <w:rsid w:val="64DFD0BD"/>
    <w:rsid w:val="65479663"/>
    <w:rsid w:val="65EB242B"/>
    <w:rsid w:val="691801FA"/>
    <w:rsid w:val="6C9BEEBE"/>
    <w:rsid w:val="6E4FC544"/>
    <w:rsid w:val="6F3240A8"/>
    <w:rsid w:val="6F70A6BA"/>
    <w:rsid w:val="7044D800"/>
    <w:rsid w:val="752F88A3"/>
    <w:rsid w:val="75CEB184"/>
    <w:rsid w:val="768B481E"/>
    <w:rsid w:val="78769522"/>
    <w:rsid w:val="78FDDAEA"/>
    <w:rsid w:val="7944DC87"/>
    <w:rsid w:val="7B255A6A"/>
    <w:rsid w:val="7DFB65F3"/>
    <w:rsid w:val="7EB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C746"/>
  <w15:chartTrackingRefBased/>
  <w15:docId w15:val="{C40FB2E4-169B-4284-B36C-6C44E1603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body" w:customStyle="true">
    <w:uiPriority w:val="1"/>
    <w:name w:val="Text body"/>
    <w:basedOn w:val="Normal"/>
    <w:rsid w:val="6F70A6BA"/>
    <w:pPr>
      <w:widowControl w:val="0"/>
      <w:spacing w:after="120"/>
    </w:pPr>
  </w:style>
  <w:style w:type="paragraph" w:styleId="Standard" w:customStyle="true">
    <w:uiPriority w:val="1"/>
    <w:name w:val="Standard"/>
    <w:basedOn w:val="Normal"/>
    <w:rsid w:val="5D02A148"/>
    <w:pPr>
      <w:widowControl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reedom24.com/" TargetMode="External" Id="R52f57fb25532496b" /><Relationship Type="http://schemas.openxmlformats.org/officeDocument/2006/relationships/header" Target="header.xml" Id="R34803e4f90d3481a" /><Relationship Type="http://schemas.openxmlformats.org/officeDocument/2006/relationships/footer" Target="footer.xml" Id="R632be4d90d63429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b710908fe5fd40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8DEAEEA4-B8F2-4D05-8CCC-F73C90E0F18A}"/>
</file>

<file path=customXml/itemProps2.xml><?xml version="1.0" encoding="utf-8"?>
<ds:datastoreItem xmlns:ds="http://schemas.openxmlformats.org/officeDocument/2006/customXml" ds:itemID="{245295BC-E25E-4DE1-91D8-61C8C35DEC09}"/>
</file>

<file path=customXml/itemProps3.xml><?xml version="1.0" encoding="utf-8"?>
<ds:datastoreItem xmlns:ds="http://schemas.openxmlformats.org/officeDocument/2006/customXml" ds:itemID="{D3020A5C-DED2-4530-AD13-723F65A1FC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 Węglarz</dc:creator>
  <keywords/>
  <dc:description/>
  <lastModifiedBy>Justyna  Węglarz</lastModifiedBy>
  <dcterms:created xsi:type="dcterms:W3CDTF">2023-10-11T14:47:35.0000000Z</dcterms:created>
  <dcterms:modified xsi:type="dcterms:W3CDTF">2023-12-05T14:28:14.9963706Z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