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Pr="00AE5C64" w:rsidRDefault="00AE5C64">
      <w:pPr>
        <w:rPr>
          <w:b/>
        </w:rPr>
      </w:pPr>
      <w:r w:rsidRPr="00AE5C64">
        <w:rPr>
          <w:b/>
        </w:rPr>
        <w:t>Za nami Samorządowy Kongres Finansowy w Sopocie</w:t>
      </w:r>
    </w:p>
    <w:p w:rsidR="00D07CC5" w:rsidRPr="00AE5C64" w:rsidRDefault="00840535">
      <w:pPr>
        <w:rPr>
          <w:b/>
        </w:rPr>
      </w:pPr>
      <w:r w:rsidRPr="00AE5C64">
        <w:rPr>
          <w:b/>
        </w:rPr>
        <w:t xml:space="preserve">W połowie maja w Sopocie odbył się </w:t>
      </w:r>
      <w:proofErr w:type="spellStart"/>
      <w:r w:rsidRPr="00AE5C64">
        <w:rPr>
          <w:b/>
        </w:rPr>
        <w:t>Local</w:t>
      </w:r>
      <w:proofErr w:type="spellEnd"/>
      <w:r w:rsidRPr="00AE5C64">
        <w:rPr>
          <w:b/>
        </w:rPr>
        <w:t xml:space="preserve"> </w:t>
      </w:r>
      <w:proofErr w:type="spellStart"/>
      <w:r w:rsidRPr="00AE5C64">
        <w:rPr>
          <w:b/>
        </w:rPr>
        <w:t>Trends</w:t>
      </w:r>
      <w:proofErr w:type="spellEnd"/>
      <w:r w:rsidRPr="00AE5C64">
        <w:rPr>
          <w:b/>
        </w:rPr>
        <w:t xml:space="preserve"> – Samorządowy Kongres Finansowy. Wydarzenie było okazją do rozmów o najważniejszych zadaniach na rozpoczynają się kadencję władz lokalnych. Samorządowcy mieli okazję przedstawić oczekiwania stronie rządowej oraz poznać</w:t>
      </w:r>
      <w:r w:rsidR="00BD098B" w:rsidRPr="00AE5C64">
        <w:rPr>
          <w:b/>
        </w:rPr>
        <w:t xml:space="preserve"> potrzeby inwestorów i </w:t>
      </w:r>
      <w:r w:rsidRPr="00AE5C64">
        <w:rPr>
          <w:b/>
        </w:rPr>
        <w:t xml:space="preserve"> </w:t>
      </w:r>
      <w:r w:rsidR="00BD098B" w:rsidRPr="00AE5C64">
        <w:rPr>
          <w:b/>
        </w:rPr>
        <w:t xml:space="preserve">nowe technologie gotowe do wdrożenia w miastach i gminach. </w:t>
      </w:r>
    </w:p>
    <w:p w:rsidR="00BD098B" w:rsidRDefault="00BD098B">
      <w:pPr>
        <w:rPr>
          <w:b/>
        </w:rPr>
      </w:pPr>
      <w:r w:rsidRPr="00BD098B">
        <w:rPr>
          <w:b/>
        </w:rPr>
        <w:t xml:space="preserve">Jak rozwijać aglomeracje </w:t>
      </w:r>
      <w:bookmarkStart w:id="0" w:name="_GoBack"/>
      <w:bookmarkEnd w:id="0"/>
      <w:r w:rsidRPr="00BD098B">
        <w:rPr>
          <w:b/>
        </w:rPr>
        <w:t>w oparciu o dane?</w:t>
      </w:r>
    </w:p>
    <w:p w:rsidR="00BD098B" w:rsidRDefault="00BD098B" w:rsidP="00BD098B">
      <w:r>
        <w:t xml:space="preserve">To temat sesji plenarnej, która odbyła się pierwszego dnia wydarzenia. </w:t>
      </w:r>
      <w:r w:rsidRPr="00BD098B">
        <w:t>Michał Ziółkowski, członek zarządu ds. techniki w Play</w:t>
      </w:r>
      <w:r>
        <w:t xml:space="preserve"> </w:t>
      </w:r>
      <w:r>
        <w:t>zaprezentował wyniki raportu "Połączeni. Mieszkańcy polskich aglomeracji – ja</w:t>
      </w:r>
      <w:r>
        <w:t>k żyją, pracują i odpoczywają?"</w:t>
      </w:r>
    </w:p>
    <w:p w:rsidR="00BD098B" w:rsidRPr="008523BC" w:rsidRDefault="00BD098B" w:rsidP="00BD098B">
      <w:pPr>
        <w:jc w:val="both"/>
      </w:pPr>
      <w:r>
        <w:t xml:space="preserve"> – </w:t>
      </w:r>
      <w:r w:rsidRPr="00BD098B">
        <w:rPr>
          <w:i/>
        </w:rPr>
        <w:t xml:space="preserve">W raporcie skupiliśmy się na 12 największych aglomeracjach w Polsce. Badaliśmy przepływy naszej sieci, jak użytkownicy korzystają z naszej infrastruktury, jak za jej </w:t>
      </w:r>
      <w:r w:rsidRPr="00BD098B">
        <w:rPr>
          <w:i/>
        </w:rPr>
        <w:t xml:space="preserve">pomocą poruszają się po mieście. </w:t>
      </w:r>
      <w:r w:rsidRPr="00BD098B">
        <w:rPr>
          <w:i/>
        </w:rPr>
        <w:t>Wygenerowane zostały przy udziale kart SIM, z których na co dzień korzystają użytkownicy</w:t>
      </w:r>
      <w:r>
        <w:t xml:space="preserve"> </w:t>
      </w:r>
      <w:r>
        <w:t xml:space="preserve"> </w:t>
      </w:r>
      <w:r>
        <w:t>– podkreślił Ziółkowski.</w:t>
      </w:r>
      <w:r w:rsidR="008523BC">
        <w:t xml:space="preserve"> </w:t>
      </w:r>
      <w:r>
        <w:t xml:space="preserve">Rolę tego typu danych w procesie zarządzania miastem podkreślał między innymi Jacek Jaśkowiak, prezydent Miasta Poznania  - </w:t>
      </w:r>
      <w:r w:rsidRPr="00BD098B">
        <w:rPr>
          <w:i/>
        </w:rPr>
        <w:t xml:space="preserve">Dane z sieci komórkowych pokazują, że w Poznaniu mieszka nie </w:t>
      </w:r>
      <w:r>
        <w:rPr>
          <w:i/>
        </w:rPr>
        <w:t>540 tys. osób, a 640 tys. osób. Kl</w:t>
      </w:r>
      <w:r w:rsidRPr="00BD098B">
        <w:rPr>
          <w:i/>
        </w:rPr>
        <w:t>uczowe znaczenie ma to, jak je wykorzystać i dostosow</w:t>
      </w:r>
      <w:r>
        <w:rPr>
          <w:i/>
        </w:rPr>
        <w:t xml:space="preserve">ać politykę do przepływów ludzi. </w:t>
      </w:r>
    </w:p>
    <w:p w:rsidR="00BD098B" w:rsidRDefault="00BD098B" w:rsidP="00BD098B">
      <w:pPr>
        <w:jc w:val="both"/>
      </w:pPr>
      <w:r>
        <w:rPr>
          <w:i/>
        </w:rPr>
        <w:t xml:space="preserve">- </w:t>
      </w:r>
      <w:r w:rsidRPr="00BD098B">
        <w:rPr>
          <w:i/>
        </w:rPr>
        <w:t>Chcemy przeprowadzić analizę ruchu turystycznego, żeby wiedzieć skąd do nas turyści przyjeżdżają i jak długo przebywają. W Sopocie</w:t>
      </w:r>
      <w:r>
        <w:rPr>
          <w:i/>
        </w:rPr>
        <w:t xml:space="preserve"> na co dzień mieszka 35 tys. osó</w:t>
      </w:r>
      <w:r w:rsidRPr="00BD098B">
        <w:rPr>
          <w:i/>
        </w:rPr>
        <w:t>b, a w sezonie jest ich milion</w:t>
      </w:r>
      <w:r w:rsidRPr="00BD098B">
        <w:rPr>
          <w:i/>
        </w:rPr>
        <w:t xml:space="preserve"> </w:t>
      </w:r>
      <w:r>
        <w:rPr>
          <w:i/>
        </w:rPr>
        <w:t xml:space="preserve">– </w:t>
      </w:r>
      <w:r w:rsidRPr="00BD098B">
        <w:t>mówiła</w:t>
      </w:r>
      <w:r>
        <w:rPr>
          <w:i/>
        </w:rPr>
        <w:t xml:space="preserve"> </w:t>
      </w:r>
      <w:r>
        <w:t>Magdalena Cieślik, wiceprezydent Miasta Sopotu</w:t>
      </w:r>
      <w:r>
        <w:t>.</w:t>
      </w:r>
    </w:p>
    <w:p w:rsidR="008523BC" w:rsidRDefault="008523BC" w:rsidP="00BD098B">
      <w:pPr>
        <w:jc w:val="both"/>
        <w:rPr>
          <w:b/>
        </w:rPr>
      </w:pPr>
      <w:r w:rsidRPr="008523BC">
        <w:rPr>
          <w:b/>
        </w:rPr>
        <w:t>Jak przyciągać inwestycje?</w:t>
      </w:r>
    </w:p>
    <w:p w:rsidR="00E11BED" w:rsidRDefault="008523BC" w:rsidP="00E11BED">
      <w:pPr>
        <w:jc w:val="both"/>
      </w:pPr>
      <w:r w:rsidRPr="008523BC">
        <w:t>Duże inwestycje przekładają się na rozwój samorządu. To nowe miejsca pracy, które przeciwdziałają wyludnieniu, roz</w:t>
      </w:r>
      <w:r w:rsidR="00CA2F4D">
        <w:t xml:space="preserve">wój infrastruktury i możliwości realizowania wspólnych inicjatyw dla społeczności lokalnej. </w:t>
      </w:r>
      <w:r w:rsidR="00CA2F4D" w:rsidRPr="00CA2F4D">
        <w:t>Pojawiające się optymistyczne prognozy dostępu do funduszy europejskich</w:t>
      </w:r>
      <w:r w:rsidR="00CA2F4D">
        <w:t xml:space="preserve"> i</w:t>
      </w:r>
      <w:r w:rsidR="00CA2F4D" w:rsidRPr="00CA2F4D">
        <w:t xml:space="preserve"> perspektywa odbudowania dochodów własnych samorządów sprawiają, że miasta wzmacniają potencjał inwestycyjny i muszą szybko adoptować swoje budżety oraz strategie celem spraw</w:t>
      </w:r>
      <w:r w:rsidR="00CA2F4D">
        <w:t xml:space="preserve">nego podejmowania decyzji. Podczas kongresu Tomasz </w:t>
      </w:r>
      <w:proofErr w:type="spellStart"/>
      <w:r w:rsidR="00CA2F4D">
        <w:t>Robaczyński</w:t>
      </w:r>
      <w:proofErr w:type="spellEnd"/>
      <w:r w:rsidR="00CA2F4D">
        <w:t xml:space="preserve">, </w:t>
      </w:r>
      <w:r w:rsidR="003969C5">
        <w:t>członek z</w:t>
      </w:r>
      <w:r w:rsidR="00CA2F4D">
        <w:t>arządu</w:t>
      </w:r>
      <w:r w:rsidR="00CA2F4D">
        <w:t xml:space="preserve"> w </w:t>
      </w:r>
      <w:r w:rsidR="00CA2F4D">
        <w:t>Bank</w:t>
      </w:r>
      <w:r w:rsidR="00CA2F4D">
        <w:t>u</w:t>
      </w:r>
      <w:r w:rsidR="00CA2F4D">
        <w:t xml:space="preserve"> Gospodarstwa Krajowego</w:t>
      </w:r>
      <w:r w:rsidR="00E11BED">
        <w:t xml:space="preserve"> wskazał, że </w:t>
      </w:r>
    </w:p>
    <w:p w:rsidR="00E11BED" w:rsidRDefault="00E11BED" w:rsidP="00E11BED">
      <w:pPr>
        <w:jc w:val="both"/>
        <w:rPr>
          <w:i/>
        </w:rPr>
      </w:pPr>
      <w:r>
        <w:t xml:space="preserve">- </w:t>
      </w:r>
      <w:r w:rsidRPr="00E11BED">
        <w:rPr>
          <w:i/>
        </w:rPr>
        <w:t>Potrzeby samorządów dużych i małych są różne. Małe potrzebują twardej infrastruktury drogowej i kanalizacyjnej, w większych miastach dochodzi realizacja innych potrzeb mieszkańców. Mniejsze samorządy mają mniejsze możliwości finansowania. W samorządach dużych terytorialnie</w:t>
      </w:r>
      <w:r w:rsidRPr="00E11BED">
        <w:rPr>
          <w:i/>
        </w:rPr>
        <w:t>,</w:t>
      </w:r>
      <w:r w:rsidRPr="00E11BED">
        <w:rPr>
          <w:i/>
        </w:rPr>
        <w:t xml:space="preserve"> ale z małą liczbą mieszkańców pilna jest potrzeba zapewnienia mieszkańcom komunikacji</w:t>
      </w:r>
      <w:r w:rsidR="003969C5">
        <w:rPr>
          <w:i/>
        </w:rPr>
        <w:t xml:space="preserve">. Aktualnie jako BGK realizujemy i rozwijamy programy mieszkaniowe. Druga rzec to środki unijne i podpisana umowa z Ministerstwem </w:t>
      </w:r>
      <w:r w:rsidR="003969C5" w:rsidRPr="003969C5">
        <w:rPr>
          <w:i/>
        </w:rPr>
        <w:t>Funduszy i Polityki Regionalnej</w:t>
      </w:r>
      <w:r w:rsidR="003969C5">
        <w:rPr>
          <w:i/>
        </w:rPr>
        <w:t xml:space="preserve"> – 9 miliardów na zieloną transformację miast. Rozmawiamy o możliwości refinansowania tych zadań.</w:t>
      </w:r>
    </w:p>
    <w:p w:rsidR="003969C5" w:rsidRPr="003969C5" w:rsidRDefault="003969C5" w:rsidP="003969C5">
      <w:pPr>
        <w:jc w:val="both"/>
      </w:pPr>
      <w:r>
        <w:t>O warunkach finansowania</w:t>
      </w:r>
      <w:r w:rsidRPr="003969C5">
        <w:t xml:space="preserve"> programów inwestycyjnych w samorządach</w:t>
      </w:r>
      <w:r>
        <w:t xml:space="preserve"> przez Europejski Bank Inwestycyjny mówiła natomiast</w:t>
      </w:r>
      <w:r w:rsidRPr="003969C5">
        <w:t xml:space="preserve"> </w:t>
      </w:r>
      <w:r>
        <w:t xml:space="preserve">Teresa Czerwińska, wiceprezes zarządu. </w:t>
      </w:r>
    </w:p>
    <w:p w:rsidR="00052ED5" w:rsidRDefault="003969C5" w:rsidP="00052ED5">
      <w:pPr>
        <w:jc w:val="both"/>
      </w:pPr>
      <w:r>
        <w:rPr>
          <w:i/>
        </w:rPr>
        <w:t xml:space="preserve">- </w:t>
      </w:r>
      <w:r w:rsidRPr="003969C5">
        <w:rPr>
          <w:i/>
        </w:rPr>
        <w:t xml:space="preserve">W ubiegłym roku Polska otrzymała ponad 5 mld euro finansowania z grupy Europejskiego Banku Inwestycyjnego. Przez 20 lat Polski w Unii Europejskiej jest to blisko 95 mld euro. </w:t>
      </w:r>
      <w:r w:rsidR="00052ED5" w:rsidRPr="00052ED5">
        <w:rPr>
          <w:i/>
        </w:rPr>
        <w:t xml:space="preserve">Finansowanie </w:t>
      </w:r>
      <w:r w:rsidR="00052ED5" w:rsidRPr="00052ED5">
        <w:rPr>
          <w:i/>
        </w:rPr>
        <w:lastRenderedPageBreak/>
        <w:t>zrównoważonego rozwoju miast i regionów wyniosło w zeszłym roku ponad 2 mld euro. Dużą część naszego portfela stanowi modernizacja transportu publicznego. Oprócz dużej infrastruktury transportowej jest to tabor komunikacyjny, zakup nowych tramwajów i m</w:t>
      </w:r>
      <w:r w:rsidR="00052ED5">
        <w:rPr>
          <w:i/>
        </w:rPr>
        <w:t xml:space="preserve">odernizacja linii tramwajowych. </w:t>
      </w:r>
      <w:r w:rsidR="00052ED5" w:rsidRPr="00052ED5">
        <w:rPr>
          <w:i/>
        </w:rPr>
        <w:t>Drugim obszarem finansowania EBI dla samorządów jest edukacja. To nie tylko budynki i ich modernizacja, lecz także programy edukacyjne. Niezwykle istotne dla samorządów jest finansowanie małej i średniej przedsiębiorczości na efektywność energetyczną, cyfryzację, podnoszenie kompetencji, prowadzone za pośrednictwem banków komercyjnych</w:t>
      </w:r>
      <w:r w:rsidR="00052ED5">
        <w:rPr>
          <w:i/>
        </w:rPr>
        <w:t xml:space="preserve"> </w:t>
      </w:r>
      <w:r w:rsidR="00052ED5" w:rsidRPr="00052ED5">
        <w:t xml:space="preserve">– mówiła Teresa Czerwińska. </w:t>
      </w:r>
    </w:p>
    <w:p w:rsidR="00052ED5" w:rsidRDefault="00052ED5" w:rsidP="00052ED5">
      <w:pPr>
        <w:jc w:val="both"/>
      </w:pPr>
      <w:r>
        <w:t>O warunkach udanej współpracy</w:t>
      </w:r>
      <w:r w:rsidRPr="00052ED5">
        <w:t xml:space="preserve"> samorządów oraz biznesu </w:t>
      </w:r>
      <w:r>
        <w:t>rozmawiali uczestnicy sesji  „</w:t>
      </w:r>
      <w:r w:rsidRPr="00052ED5">
        <w:t>Sposoby na rozwój, czyli jak samorząd może przyciągać inwestorów</w:t>
      </w:r>
      <w:r>
        <w:t xml:space="preserve">”. </w:t>
      </w:r>
      <w:r w:rsidRPr="00052ED5">
        <w:t>Powszechnie znanymi kluczowymi czynnikami przyciągającymi inwestorów są m.in. rozwój infrastruktury, zaangażowanie partnerów akademicki</w:t>
      </w:r>
      <w:r>
        <w:t>ch</w:t>
      </w:r>
      <w:r w:rsidRPr="00052ED5">
        <w:t xml:space="preserve">, promocja lokalnych talentów i potencjału gospodarczego czy ulgi prawno-podatkowe.  </w:t>
      </w:r>
      <w:r>
        <w:t xml:space="preserve">Ilona Antoniszyn, </w:t>
      </w:r>
      <w:r w:rsidRPr="00052ED5">
        <w:t>Dyrektor Biura Przedstawicielstwa Politycznego grupy Volkswagen AG w Warszawie</w:t>
      </w:r>
      <w:r>
        <w:t xml:space="preserve"> zwróciła jednak uwagę na dynamicznie zachodzące zmiany, do których Polska musi się przystosować</w:t>
      </w:r>
    </w:p>
    <w:p w:rsidR="00052ED5" w:rsidRPr="00052ED5" w:rsidRDefault="00052ED5" w:rsidP="00052ED5">
      <w:pPr>
        <w:jc w:val="both"/>
        <w:rPr>
          <w:i/>
        </w:rPr>
      </w:pPr>
      <w:r w:rsidRPr="00052ED5">
        <w:rPr>
          <w:i/>
        </w:rPr>
        <w:t>- Aby pozyskać nowe inwestycje trzeba dziś spełni</w:t>
      </w:r>
      <w:r>
        <w:rPr>
          <w:i/>
        </w:rPr>
        <w:t xml:space="preserve">ć warunki inne niż do tej </w:t>
      </w:r>
      <w:proofErr w:type="spellStart"/>
      <w:r>
        <w:rPr>
          <w:i/>
        </w:rPr>
        <w:t>pory.</w:t>
      </w:r>
      <w:r w:rsidRPr="00052ED5">
        <w:rPr>
          <w:i/>
        </w:rPr>
        <w:t>Trzeba</w:t>
      </w:r>
      <w:proofErr w:type="spellEnd"/>
      <w:r w:rsidRPr="00052ED5">
        <w:rPr>
          <w:i/>
        </w:rPr>
        <w:t xml:space="preserve"> zadbać o obsługę energetyczną. Musimy dysponować czystą, zieloną energią, w bardzo dużych ilościach i potrzebujemy ludzi o nowych kompetencjach. Jeżeli gmina chce zachować</w:t>
      </w:r>
      <w:r w:rsidR="00747B8C">
        <w:rPr>
          <w:i/>
        </w:rPr>
        <w:t xml:space="preserve"> swoją produkcje musi zatem zad</w:t>
      </w:r>
      <w:r w:rsidRPr="00052ED5">
        <w:rPr>
          <w:i/>
        </w:rPr>
        <w:t>ba</w:t>
      </w:r>
      <w:r w:rsidR="00747B8C">
        <w:rPr>
          <w:i/>
        </w:rPr>
        <w:t xml:space="preserve">ć </w:t>
      </w:r>
      <w:r w:rsidRPr="00052ED5">
        <w:rPr>
          <w:i/>
        </w:rPr>
        <w:t>o infrastrukturę, przeszkolenie, energię.</w:t>
      </w:r>
    </w:p>
    <w:p w:rsidR="00747B8C" w:rsidRDefault="00747B8C" w:rsidP="00052ED5">
      <w:pPr>
        <w:jc w:val="both"/>
      </w:pPr>
      <w:r>
        <w:rPr>
          <w:rFonts w:ascii="Segoe UI Symbol" w:hAnsi="Segoe UI Symbol" w:cs="Segoe UI Symbol"/>
          <w:i/>
        </w:rPr>
        <w:t xml:space="preserve">- </w:t>
      </w:r>
      <w:r w:rsidR="00052ED5" w:rsidRPr="00052ED5">
        <w:rPr>
          <w:i/>
        </w:rPr>
        <w:t>Jako Polska Agencja Inwestycji i Handlu jesteśmy na pierwszej linii kontaktu z inwe</w:t>
      </w:r>
      <w:r>
        <w:rPr>
          <w:i/>
        </w:rPr>
        <w:t xml:space="preserve">storami. </w:t>
      </w:r>
      <w:r w:rsidR="00052ED5" w:rsidRPr="00052ED5">
        <w:rPr>
          <w:i/>
        </w:rPr>
        <w:t>Największe inwestycje potrzebują naprawdę dużego wsparcia i my jeste</w:t>
      </w:r>
      <w:r>
        <w:rPr>
          <w:i/>
        </w:rPr>
        <w:t>śmy odpowiedzialni za współpracę</w:t>
      </w:r>
      <w:r w:rsidR="00052ED5" w:rsidRPr="00052ED5">
        <w:rPr>
          <w:i/>
        </w:rPr>
        <w:t xml:space="preserve"> z Ministerstw</w:t>
      </w:r>
      <w:r>
        <w:rPr>
          <w:i/>
        </w:rPr>
        <w:t>em</w:t>
      </w:r>
      <w:r w:rsidR="00052ED5" w:rsidRPr="00052ED5">
        <w:rPr>
          <w:i/>
        </w:rPr>
        <w:t xml:space="preserve"> Rozwoju i Technologii oraz ustalenie tego jakie regulacje należy w</w:t>
      </w:r>
      <w:r>
        <w:rPr>
          <w:i/>
        </w:rPr>
        <w:t>prowadzić, aby Polska była atrak</w:t>
      </w:r>
      <w:r w:rsidR="00052ED5" w:rsidRPr="00052ED5">
        <w:rPr>
          <w:i/>
        </w:rPr>
        <w:t xml:space="preserve">cyjna i abyśmy nadal byli </w:t>
      </w:r>
      <w:proofErr w:type="spellStart"/>
      <w:r w:rsidR="00052ED5" w:rsidRPr="00052ED5">
        <w:rPr>
          <w:i/>
        </w:rPr>
        <w:t>hubem</w:t>
      </w:r>
      <w:proofErr w:type="spellEnd"/>
      <w:r w:rsidR="00052ED5" w:rsidRPr="00052ED5">
        <w:rPr>
          <w:i/>
        </w:rPr>
        <w:t xml:space="preserve"> dla </w:t>
      </w:r>
      <w:proofErr w:type="spellStart"/>
      <w:r w:rsidR="00052ED5" w:rsidRPr="00052ED5">
        <w:rPr>
          <w:i/>
        </w:rPr>
        <w:t>elektromobilności</w:t>
      </w:r>
      <w:proofErr w:type="spellEnd"/>
      <w:r w:rsidR="00052ED5" w:rsidRPr="00052ED5">
        <w:rPr>
          <w:i/>
        </w:rPr>
        <w:t>. Stoimy przed rozdrożem kiedy możemy stać się technologicznym</w:t>
      </w:r>
      <w:r>
        <w:rPr>
          <w:i/>
        </w:rPr>
        <w:t xml:space="preserve"> centrum w kontekście </w:t>
      </w:r>
      <w:proofErr w:type="spellStart"/>
      <w:r>
        <w:rPr>
          <w:i/>
        </w:rPr>
        <w:t>elektromo</w:t>
      </w:r>
      <w:r w:rsidR="00052ED5" w:rsidRPr="00052ED5">
        <w:rPr>
          <w:i/>
        </w:rPr>
        <w:t>bilności</w:t>
      </w:r>
      <w:proofErr w:type="spellEnd"/>
      <w:r w:rsidR="00052ED5" w:rsidRPr="00052ED5">
        <w:rPr>
          <w:i/>
        </w:rPr>
        <w:t xml:space="preserve"> lub zostać w t</w:t>
      </w:r>
      <w:r>
        <w:rPr>
          <w:i/>
        </w:rPr>
        <w:t xml:space="preserve">yle </w:t>
      </w:r>
      <w:r w:rsidRPr="00747B8C">
        <w:t xml:space="preserve">- podkreślała Monika Kisiel, </w:t>
      </w:r>
      <w:r w:rsidR="00052ED5" w:rsidRPr="00747B8C">
        <w:t>Menadżer w Departamencie Inwestycji, Polska Agencja Inwestycji i Handlu</w:t>
      </w:r>
      <w:r>
        <w:t>.</w:t>
      </w:r>
    </w:p>
    <w:p w:rsidR="00747B8C" w:rsidRDefault="00747B8C" w:rsidP="00052ED5">
      <w:pPr>
        <w:jc w:val="both"/>
      </w:pPr>
      <w:r>
        <w:t xml:space="preserve">W </w:t>
      </w:r>
      <w:proofErr w:type="spellStart"/>
      <w:r>
        <w:t>ramachkongresu</w:t>
      </w:r>
      <w:proofErr w:type="spellEnd"/>
      <w:r w:rsidRPr="00747B8C">
        <w:t xml:space="preserve"> wręczona została nagroda specjalna </w:t>
      </w:r>
      <w:proofErr w:type="spellStart"/>
      <w:r w:rsidRPr="00747B8C">
        <w:t>Local</w:t>
      </w:r>
      <w:proofErr w:type="spellEnd"/>
      <w:r w:rsidRPr="00747B8C">
        <w:t xml:space="preserve"> </w:t>
      </w:r>
      <w:proofErr w:type="spellStart"/>
      <w:r w:rsidRPr="00747B8C">
        <w:t>Trends</w:t>
      </w:r>
      <w:proofErr w:type="spellEnd"/>
      <w:r w:rsidRPr="00747B8C">
        <w:t xml:space="preserve"> dla </w:t>
      </w:r>
      <w:proofErr w:type="spellStart"/>
      <w:r w:rsidRPr="00747B8C">
        <w:t>InPost</w:t>
      </w:r>
      <w:proofErr w:type="spellEnd"/>
      <w:r w:rsidRPr="00747B8C">
        <w:t xml:space="preserve"> Green City za działalność na rzecz zrównoważonego rozwoju miast i popularyzację idei </w:t>
      </w:r>
      <w:proofErr w:type="spellStart"/>
      <w:r w:rsidRPr="00747B8C">
        <w:t>green</w:t>
      </w:r>
      <w:proofErr w:type="spellEnd"/>
      <w:r w:rsidRPr="00747B8C">
        <w:t xml:space="preserve"> </w:t>
      </w:r>
      <w:proofErr w:type="spellStart"/>
      <w:r w:rsidRPr="00747B8C">
        <w:t>city</w:t>
      </w:r>
      <w:proofErr w:type="spellEnd"/>
      <w:r w:rsidRPr="00747B8C">
        <w:t xml:space="preserve">. Nagrodę z rąk organizatorów </w:t>
      </w:r>
      <w:proofErr w:type="spellStart"/>
      <w:r w:rsidRPr="00747B8C">
        <w:t>Local</w:t>
      </w:r>
      <w:proofErr w:type="spellEnd"/>
      <w:r w:rsidRPr="00747B8C">
        <w:t xml:space="preserve"> </w:t>
      </w:r>
      <w:proofErr w:type="spellStart"/>
      <w:r w:rsidRPr="00747B8C">
        <w:t>Trends</w:t>
      </w:r>
      <w:proofErr w:type="spellEnd"/>
      <w:r w:rsidRPr="00747B8C">
        <w:t xml:space="preserve"> - Tomasza Kobierskiego, prezesa zarządu Grupa MTP i Macieja H. Grabowskiego, prezesa Centrum Myśli Strategicznych odebrała Marta Zalewska, Dyrektorka ds. relacji partnerskich i Programu </w:t>
      </w:r>
      <w:proofErr w:type="spellStart"/>
      <w:r w:rsidRPr="00747B8C">
        <w:t>InPost</w:t>
      </w:r>
      <w:proofErr w:type="spellEnd"/>
      <w:r w:rsidRPr="00747B8C">
        <w:t xml:space="preserve"> Green City. Obecnie w Programie </w:t>
      </w:r>
      <w:proofErr w:type="spellStart"/>
      <w:r w:rsidRPr="00747B8C">
        <w:t>InPost</w:t>
      </w:r>
      <w:proofErr w:type="spellEnd"/>
      <w:r w:rsidRPr="00747B8C">
        <w:t xml:space="preserve"> Green City uczestniczy 60 miast, we współpracy z którymi zrealizowanych zostało ponad 60 inicjatyw takich jak m.in.: tworzenie i zazielenianie terenów miejskich – park kieszonkowy w Warszawie, ogrody deszczowe w Lublinie, place zabaw w Łodzi i Bytomiu, czy strefy </w:t>
      </w:r>
      <w:proofErr w:type="spellStart"/>
      <w:r w:rsidRPr="00747B8C">
        <w:t>workout</w:t>
      </w:r>
      <w:proofErr w:type="spellEnd"/>
      <w:r w:rsidRPr="00747B8C">
        <w:t xml:space="preserve"> w Kielcach, a także inicjatywy smart jak np. zainstalowanie 6 ławek solarnych na Placu Miejskim w Wyszkowie.</w:t>
      </w:r>
      <w:r>
        <w:t xml:space="preserve"> </w:t>
      </w:r>
    </w:p>
    <w:p w:rsidR="00747B8C" w:rsidRDefault="00747B8C" w:rsidP="00747B8C">
      <w:pPr>
        <w:jc w:val="both"/>
      </w:pPr>
      <w:r>
        <w:t xml:space="preserve">W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– Samorządowym Kongresie Finansowym w Sopocie wzięło udział ponad</w:t>
      </w:r>
      <w:r w:rsidRPr="00747B8C">
        <w:t xml:space="preserve"> 1000 uczestników</w:t>
      </w:r>
      <w:r>
        <w:t xml:space="preserve"> i</w:t>
      </w:r>
      <w:r w:rsidRPr="00747B8C">
        <w:t xml:space="preserve"> prawie 200 prelegentów</w:t>
      </w:r>
      <w:r>
        <w:t>.</w:t>
      </w:r>
      <w:r>
        <w:t xml:space="preserve"> W dniach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- Europejskie Forum Samorządowe  odbędzie się w Poznaniu w dniach 14-15 października 2024. Rejestracja jest już otwarta: </w:t>
      </w:r>
      <w:hyperlink r:id="rId6" w:history="1">
        <w:r w:rsidR="00ED4207" w:rsidRPr="00E536CB">
          <w:rPr>
            <w:rStyle w:val="Hipercze"/>
          </w:rPr>
          <w:t>https://rejestracjapoznan.localtrends.pl/</w:t>
        </w:r>
      </w:hyperlink>
      <w:r w:rsidR="00ED4207">
        <w:t xml:space="preserve"> </w:t>
      </w:r>
      <w:r>
        <w:t xml:space="preserve"> </w:t>
      </w:r>
    </w:p>
    <w:p w:rsidR="00747B8C" w:rsidRDefault="00747B8C" w:rsidP="00747B8C">
      <w:pPr>
        <w:jc w:val="both"/>
      </w:pPr>
    </w:p>
    <w:p w:rsidR="00ED4207" w:rsidRDefault="00ED4207" w:rsidP="00747B8C">
      <w:pPr>
        <w:jc w:val="both"/>
      </w:pPr>
    </w:p>
    <w:p w:rsidR="00ED4207" w:rsidRDefault="00ED4207" w:rsidP="00747B8C">
      <w:pPr>
        <w:jc w:val="both"/>
      </w:pPr>
    </w:p>
    <w:p w:rsidR="00747B8C" w:rsidRDefault="00747B8C" w:rsidP="00ED4207">
      <w:pPr>
        <w:jc w:val="center"/>
      </w:pPr>
      <w:r>
        <w:t>***</w:t>
      </w:r>
    </w:p>
    <w:p w:rsidR="00747B8C" w:rsidRDefault="00747B8C" w:rsidP="00747B8C">
      <w:pPr>
        <w:jc w:val="both"/>
      </w:pP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to projekt, którego celem jest wzmocnienie głosu gmin, miast, powiatów i województw w dyskusji o rozwoju społeczno-gospodarczym jednostek samorządu terytorialnego oraz kraju. Inicjatorami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są Centrum Myśli Strategicznych i Grupa MTP we współpracy z partnerami samorządowymi. Nad jakością merytoryczną wydarzeń czuwa Rada Programowa składająca się z kilkudziesięciu ekspertów – przedstawicieli administracji państwowej, samorządów, biznesu oraz nauki.</w:t>
      </w:r>
    </w:p>
    <w:p w:rsidR="00747B8C" w:rsidRDefault="00747B8C" w:rsidP="00747B8C">
      <w:pPr>
        <w:jc w:val="both"/>
      </w:pPr>
      <w:r>
        <w:t>Gospodarze: Miasto Sopot, Miasto Poznań, Samorząd Województwa Pomorskiego, Samorząd Województwa Wielkopolskiego.</w:t>
      </w:r>
    </w:p>
    <w:p w:rsidR="00747B8C" w:rsidRDefault="00747B8C" w:rsidP="00747B8C">
      <w:pPr>
        <w:jc w:val="both"/>
      </w:pPr>
      <w:r>
        <w:t>Organizatorzy: Fundacja Centrum Myśli Strategicznych, Grupa MTP</w:t>
      </w:r>
    </w:p>
    <w:p w:rsidR="00747B8C" w:rsidRDefault="00747B8C" w:rsidP="00747B8C">
      <w:pPr>
        <w:jc w:val="both"/>
      </w:pPr>
      <w:r>
        <w:t>Patronat Honorowy: Ministerstwo Funduszy i Polityki Regionalnej, Wojewoda Pomorska Beata Rutkiewicz</w:t>
      </w:r>
    </w:p>
    <w:p w:rsidR="00747B8C" w:rsidRDefault="00747B8C" w:rsidP="00747B8C">
      <w:pPr>
        <w:jc w:val="both"/>
      </w:pPr>
      <w:r>
        <w:t>Partnerzy Samorządowi: Unia Metropolii Polskich, Związek Miast Polskich, Związek Gmin Wiejskich RP, Związek Powiatów Polskich oraz Związek Województw RP</w:t>
      </w:r>
    </w:p>
    <w:p w:rsidR="00747B8C" w:rsidRDefault="00747B8C" w:rsidP="00747B8C">
      <w:pPr>
        <w:jc w:val="both"/>
      </w:pPr>
      <w:r>
        <w:t>Partner Generalny: PLAY</w:t>
      </w:r>
    </w:p>
    <w:p w:rsidR="00747B8C" w:rsidRDefault="00747B8C" w:rsidP="00747B8C">
      <w:pPr>
        <w:jc w:val="both"/>
      </w:pPr>
      <w:r>
        <w:t>Partnerzy Strategiczni: Bank Gospodarstwa Krajowego, Samorząd Województwa Pomorskiego</w:t>
      </w:r>
    </w:p>
    <w:p w:rsidR="00747B8C" w:rsidRDefault="00747B8C" w:rsidP="00747B8C">
      <w:pPr>
        <w:jc w:val="both"/>
      </w:pPr>
      <w:r>
        <w:t xml:space="preserve">Partner Premium: </w:t>
      </w:r>
      <w:proofErr w:type="spellStart"/>
      <w:r>
        <w:t>Autopay</w:t>
      </w:r>
      <w:proofErr w:type="spellEnd"/>
    </w:p>
    <w:p w:rsidR="00747B8C" w:rsidRDefault="00747B8C" w:rsidP="00747B8C">
      <w:pPr>
        <w:jc w:val="both"/>
      </w:pPr>
      <w:r>
        <w:t xml:space="preserve">Partnerzy: Agencja Rozwoju Pomorza, </w:t>
      </w:r>
      <w:proofErr w:type="spellStart"/>
      <w:r>
        <w:t>Betacom</w:t>
      </w:r>
      <w:proofErr w:type="spellEnd"/>
      <w:r>
        <w:t xml:space="preserve">, EMKA </w:t>
      </w:r>
      <w:proofErr w:type="spellStart"/>
      <w:r>
        <w:t>Oil</w:t>
      </w:r>
      <w:proofErr w:type="spellEnd"/>
      <w:r>
        <w:t>, ORLEN Neptun</w:t>
      </w:r>
    </w:p>
    <w:p w:rsidR="00747B8C" w:rsidRDefault="00747B8C" w:rsidP="00747B8C">
      <w:pPr>
        <w:jc w:val="both"/>
      </w:pPr>
      <w:r>
        <w:t xml:space="preserve">Sponsorzy: </w:t>
      </w:r>
      <w:proofErr w:type="spellStart"/>
      <w:r>
        <w:t>Comarch</w:t>
      </w:r>
      <w:proofErr w:type="spellEnd"/>
      <w:r>
        <w:t xml:space="preserve">, Grupa </w:t>
      </w:r>
      <w:proofErr w:type="spellStart"/>
      <w:r>
        <w:t>Luxmed</w:t>
      </w:r>
      <w:proofErr w:type="spellEnd"/>
      <w:r>
        <w:t xml:space="preserve">, Narodowy Instytut Wolności, Polski Fundusz Rozwoju </w:t>
      </w:r>
    </w:p>
    <w:p w:rsidR="00747B8C" w:rsidRDefault="00747B8C" w:rsidP="00747B8C">
      <w:pPr>
        <w:jc w:val="both"/>
      </w:pPr>
      <w:r>
        <w:t xml:space="preserve">Partnerzy Merytoryczni: Fundacja RC, Instytut Finansów Publicznych, Kompaktowy Pleszew,  Polska Unia Mobilności Aktywnej, </w:t>
      </w:r>
      <w:proofErr w:type="spellStart"/>
      <w:r>
        <w:t>Think</w:t>
      </w:r>
      <w:proofErr w:type="spellEnd"/>
      <w:r>
        <w:t xml:space="preserve"> Tank, WWF Polska, Związek Miast i Gmin Morskich</w:t>
      </w:r>
    </w:p>
    <w:p w:rsidR="00747B8C" w:rsidRDefault="00747B8C" w:rsidP="00747B8C">
      <w:pPr>
        <w:jc w:val="both"/>
      </w:pPr>
      <w:r>
        <w:t>Partnerzy Instytucjonalni: Gdański Inkubator Przedsiębiorczości STARTER, Gdański Klub Biznesu, Polska Izba Gospodarcza, Pracodawcy Rzeczypospolitej Polskiej, Stowarzyszenie Gmin i Powiatów Wielkopolski, Stowarzyszenie Gmin Przyjaznych Energii Odnawialnej, Stowarzyszenie PRO, Unia Miasteczek Polskich, Wielkopolska Izba Przemysłowo-Handlowa, Wielkopolski Związek Pracodawców, Związek Gmin Po</w:t>
      </w:r>
      <w:r w:rsidR="00ED4207">
        <w:t>morskich</w:t>
      </w:r>
    </w:p>
    <w:p w:rsidR="00ED4207" w:rsidRDefault="00ED4207" w:rsidP="00747B8C">
      <w:pPr>
        <w:jc w:val="both"/>
      </w:pPr>
      <w:r>
        <w:t xml:space="preserve">Strategiczni Partnerzy Medialni: Forbes, Business </w:t>
      </w:r>
      <w:proofErr w:type="spellStart"/>
      <w:r>
        <w:t>Insider</w:t>
      </w:r>
      <w:proofErr w:type="spellEnd"/>
      <w:r>
        <w:t>, onet.pl</w:t>
      </w:r>
    </w:p>
    <w:p w:rsidR="00ED4207" w:rsidRDefault="00ED4207" w:rsidP="00747B8C">
      <w:pPr>
        <w:jc w:val="both"/>
      </w:pPr>
      <w:r>
        <w:t>Partner Radiowy: Polskie Radio</w:t>
      </w:r>
    </w:p>
    <w:p w:rsidR="00ED4207" w:rsidRDefault="00ED4207" w:rsidP="00ED4207">
      <w:pPr>
        <w:jc w:val="both"/>
      </w:pPr>
      <w:r>
        <w:t>Partnerzy Medialni: Agencja Interaktywna r360, Defence24.pl, Dziennik Gazeta Prawna, Forum Samorządowe, Newseria Agencja Informacyjna, Newseria Biznes, Newseria Innowacje, politykazdrowotna.com,</w:t>
      </w:r>
      <w:r w:rsidRPr="00ED4207">
        <w:t xml:space="preserve"> </w:t>
      </w:r>
      <w:r>
        <w:t>Prestiż Magazyn Trójmiejski</w:t>
      </w:r>
      <w:r>
        <w:t xml:space="preserve">,  </w:t>
      </w:r>
      <w:r>
        <w:t>Ser</w:t>
      </w:r>
      <w:r>
        <w:t>wis Administracyjno-Samorządowy, Serwis Samorządowy PAP.</w:t>
      </w:r>
    </w:p>
    <w:p w:rsidR="00BD098B" w:rsidRPr="00BD098B" w:rsidRDefault="00BD098B" w:rsidP="00BD098B"/>
    <w:sectPr w:rsidR="00BD098B" w:rsidRPr="00BD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5"/>
    <w:rsid w:val="00052ED5"/>
    <w:rsid w:val="003969C5"/>
    <w:rsid w:val="00747B8C"/>
    <w:rsid w:val="00840535"/>
    <w:rsid w:val="008523BC"/>
    <w:rsid w:val="00AE5C64"/>
    <w:rsid w:val="00BD098B"/>
    <w:rsid w:val="00CA2F4D"/>
    <w:rsid w:val="00D07CC5"/>
    <w:rsid w:val="00E11BED"/>
    <w:rsid w:val="00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6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4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6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4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estracjapoznan.localtrends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2024-05-16T08:05:00Z</dcterms:created>
  <dcterms:modified xsi:type="dcterms:W3CDTF">2024-05-16T09:43:00Z</dcterms:modified>
</cp:coreProperties>
</file>