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E7AF830" w14:textId="77777777" w:rsidR="00490F86" w:rsidRPr="001D1DF5" w:rsidRDefault="00FF15DF" w:rsidP="001D1DF5">
      <w:pPr>
        <w:jc w:val="both"/>
        <w:rPr>
          <w:b/>
          <w:sz w:val="44"/>
          <w:szCs w:val="18"/>
        </w:rPr>
      </w:pPr>
      <w:r w:rsidRPr="001D1DF5">
        <w:rPr>
          <w:b/>
          <w:sz w:val="44"/>
          <w:szCs w:val="44"/>
        </w:rPr>
        <w:t>S&amp;P Global</w:t>
      </w:r>
      <w:r w:rsidRPr="001D1DF5">
        <w:rPr>
          <w:b/>
          <w:sz w:val="44"/>
          <w:szCs w:val="18"/>
        </w:rPr>
        <w:t xml:space="preserve"> </w:t>
      </w:r>
      <w:proofErr w:type="spellStart"/>
      <w:r w:rsidRPr="001D1DF5">
        <w:rPr>
          <w:b/>
          <w:sz w:val="44"/>
          <w:szCs w:val="18"/>
        </w:rPr>
        <w:t>Ratings</w:t>
      </w:r>
      <w:proofErr w:type="spellEnd"/>
      <w:r w:rsidRPr="001D1DF5">
        <w:rPr>
          <w:b/>
          <w:sz w:val="44"/>
          <w:szCs w:val="18"/>
        </w:rPr>
        <w:t xml:space="preserve"> podwyższa perspektywy dla spółek zależnych </w:t>
      </w:r>
      <w:proofErr w:type="spellStart"/>
      <w:r w:rsidRPr="001D1DF5">
        <w:rPr>
          <w:b/>
          <w:sz w:val="44"/>
          <w:szCs w:val="18"/>
        </w:rPr>
        <w:t>Freedom</w:t>
      </w:r>
      <w:proofErr w:type="spellEnd"/>
      <w:r w:rsidRPr="001D1DF5">
        <w:rPr>
          <w:b/>
          <w:sz w:val="44"/>
          <w:szCs w:val="18"/>
        </w:rPr>
        <w:t xml:space="preserve"> Holding Corp.</w:t>
      </w:r>
    </w:p>
    <w:p w14:paraId="4AC00B4D" w14:textId="13252C8C" w:rsidR="00490F86" w:rsidRPr="001D1DF5" w:rsidRDefault="00490F86" w:rsidP="001D1DF5">
      <w:pPr>
        <w:jc w:val="both"/>
        <w:rPr>
          <w:color w:val="7A8086"/>
          <w:sz w:val="15"/>
          <w:szCs w:val="18"/>
        </w:rPr>
      </w:pPr>
    </w:p>
    <w:p w14:paraId="447E63A3" w14:textId="77777777" w:rsidR="00490F86" w:rsidRPr="001D1DF5" w:rsidRDefault="00490F86" w:rsidP="001D1DF5">
      <w:pPr>
        <w:jc w:val="both"/>
        <w:rPr>
          <w:sz w:val="18"/>
          <w:szCs w:val="18"/>
        </w:rPr>
      </w:pPr>
    </w:p>
    <w:p w14:paraId="3FC135D0" w14:textId="77777777" w:rsidR="00490F86" w:rsidRPr="001D1DF5" w:rsidRDefault="00FF15DF" w:rsidP="001D1DF5">
      <w:pPr>
        <w:jc w:val="both"/>
        <w:rPr>
          <w:b/>
          <w:bCs/>
          <w:sz w:val="22"/>
          <w:szCs w:val="22"/>
        </w:rPr>
      </w:pPr>
      <w:r w:rsidRPr="001D1DF5">
        <w:rPr>
          <w:b/>
          <w:bCs/>
          <w:sz w:val="22"/>
          <w:szCs w:val="22"/>
        </w:rPr>
        <w:t xml:space="preserve">Agencja ratingowa dokonała korekty w związku ze wzmocnioną kapitalizacją i lepszym zarządzaniem ryzykiem. </w:t>
      </w:r>
      <w:proofErr w:type="spellStart"/>
      <w:r w:rsidRPr="001D1DF5">
        <w:rPr>
          <w:b/>
          <w:bCs/>
          <w:sz w:val="22"/>
          <w:szCs w:val="22"/>
        </w:rPr>
        <w:t>Freedom</w:t>
      </w:r>
      <w:proofErr w:type="spellEnd"/>
      <w:r w:rsidRPr="001D1DF5">
        <w:rPr>
          <w:b/>
          <w:bCs/>
          <w:sz w:val="22"/>
          <w:szCs w:val="22"/>
        </w:rPr>
        <w:t xml:space="preserve"> Holding Corp. w Polsce jest obecny jako spółka zależna – Freedom24.</w:t>
      </w:r>
    </w:p>
    <w:p w14:paraId="723A3EFB" w14:textId="77777777" w:rsidR="00490F86" w:rsidRPr="001D1DF5" w:rsidRDefault="00490F86" w:rsidP="001D1DF5">
      <w:pPr>
        <w:jc w:val="both"/>
        <w:rPr>
          <w:sz w:val="18"/>
          <w:szCs w:val="18"/>
        </w:rPr>
      </w:pPr>
    </w:p>
    <w:p w14:paraId="3F8F1BE5" w14:textId="47D90F49" w:rsidR="00490F86" w:rsidRPr="001D1DF5" w:rsidRDefault="00FF15DF" w:rsidP="001D1DF5">
      <w:pPr>
        <w:jc w:val="both"/>
        <w:rPr>
          <w:sz w:val="18"/>
          <w:szCs w:val="18"/>
        </w:rPr>
      </w:pPr>
      <w:r w:rsidRPr="001D1DF5">
        <w:rPr>
          <w:sz w:val="18"/>
          <w:szCs w:val="18"/>
        </w:rPr>
        <w:t>Międzynarodowa agencja ratingowa S&amp;</w:t>
      </w:r>
      <w:r w:rsidRPr="001D1DF5">
        <w:rPr>
          <w:sz w:val="18"/>
          <w:szCs w:val="18"/>
        </w:rPr>
        <w:t xml:space="preserve">P Global </w:t>
      </w:r>
      <w:proofErr w:type="spellStart"/>
      <w:r w:rsidRPr="001D1DF5">
        <w:rPr>
          <w:sz w:val="18"/>
          <w:szCs w:val="18"/>
        </w:rPr>
        <w:t>Ratings</w:t>
      </w:r>
      <w:proofErr w:type="spellEnd"/>
      <w:r w:rsidRPr="001D1DF5">
        <w:rPr>
          <w:sz w:val="18"/>
          <w:szCs w:val="18"/>
        </w:rPr>
        <w:t xml:space="preserve"> skorygowała do po</w:t>
      </w:r>
      <w:r w:rsidRPr="001D1DF5">
        <w:rPr>
          <w:sz w:val="18"/>
          <w:szCs w:val="18"/>
        </w:rPr>
        <w:t xml:space="preserve">zytywnej perspektywy dla spółek zależnych </w:t>
      </w:r>
      <w:proofErr w:type="spellStart"/>
      <w:r w:rsidRPr="001D1DF5">
        <w:rPr>
          <w:sz w:val="18"/>
          <w:szCs w:val="18"/>
        </w:rPr>
        <w:t>Freedom</w:t>
      </w:r>
      <w:proofErr w:type="spellEnd"/>
      <w:r w:rsidRPr="001D1DF5">
        <w:rPr>
          <w:sz w:val="18"/>
          <w:szCs w:val="18"/>
        </w:rPr>
        <w:t xml:space="preserve"> Holding Corp. – </w:t>
      </w:r>
      <w:proofErr w:type="spellStart"/>
      <w:r w:rsidRPr="001D1DF5">
        <w:rPr>
          <w:sz w:val="18"/>
          <w:szCs w:val="18"/>
        </w:rPr>
        <w:t>Freedom</w:t>
      </w:r>
      <w:proofErr w:type="spellEnd"/>
      <w:r w:rsidRPr="001D1DF5">
        <w:rPr>
          <w:sz w:val="18"/>
          <w:szCs w:val="18"/>
        </w:rPr>
        <w:t xml:space="preserve"> Finance Europe </w:t>
      </w:r>
      <w:proofErr w:type="spellStart"/>
      <w:r w:rsidRPr="001D1DF5">
        <w:rPr>
          <w:sz w:val="18"/>
          <w:szCs w:val="18"/>
        </w:rPr>
        <w:t>Ltd</w:t>
      </w:r>
      <w:proofErr w:type="spellEnd"/>
      <w:r w:rsidRPr="001D1DF5">
        <w:rPr>
          <w:sz w:val="18"/>
          <w:szCs w:val="18"/>
        </w:rPr>
        <w:t xml:space="preserve"> (Freedom24), </w:t>
      </w:r>
      <w:proofErr w:type="spellStart"/>
      <w:r w:rsidRPr="001D1DF5">
        <w:rPr>
          <w:sz w:val="18"/>
          <w:szCs w:val="18"/>
        </w:rPr>
        <w:t>Freedom</w:t>
      </w:r>
      <w:proofErr w:type="spellEnd"/>
      <w:r w:rsidRPr="001D1DF5">
        <w:rPr>
          <w:sz w:val="18"/>
          <w:szCs w:val="18"/>
        </w:rPr>
        <w:t xml:space="preserve"> Finance Global PLC, </w:t>
      </w:r>
      <w:proofErr w:type="spellStart"/>
      <w:r w:rsidRPr="001D1DF5">
        <w:rPr>
          <w:sz w:val="18"/>
          <w:szCs w:val="18"/>
        </w:rPr>
        <w:t>Freedom</w:t>
      </w:r>
      <w:proofErr w:type="spellEnd"/>
      <w:r w:rsidRPr="001D1DF5">
        <w:rPr>
          <w:sz w:val="18"/>
          <w:szCs w:val="18"/>
        </w:rPr>
        <w:t xml:space="preserve"> Finance JSC i Bank </w:t>
      </w:r>
      <w:proofErr w:type="spellStart"/>
      <w:r w:rsidRPr="001D1DF5">
        <w:rPr>
          <w:sz w:val="18"/>
          <w:szCs w:val="18"/>
        </w:rPr>
        <w:t>Freedom</w:t>
      </w:r>
      <w:proofErr w:type="spellEnd"/>
      <w:r w:rsidRPr="001D1DF5">
        <w:rPr>
          <w:sz w:val="18"/>
          <w:szCs w:val="18"/>
        </w:rPr>
        <w:t xml:space="preserve"> Finance </w:t>
      </w:r>
      <w:proofErr w:type="spellStart"/>
      <w:r w:rsidRPr="001D1DF5">
        <w:rPr>
          <w:sz w:val="18"/>
          <w:szCs w:val="18"/>
        </w:rPr>
        <w:t>Kazakhstan</w:t>
      </w:r>
      <w:proofErr w:type="spellEnd"/>
      <w:r w:rsidR="00A4344D" w:rsidRPr="001D1DF5">
        <w:rPr>
          <w:sz w:val="18"/>
          <w:szCs w:val="18"/>
        </w:rPr>
        <w:t xml:space="preserve"> </w:t>
      </w:r>
      <w:r w:rsidRPr="001D1DF5">
        <w:rPr>
          <w:sz w:val="18"/>
          <w:szCs w:val="18"/>
        </w:rPr>
        <w:t>– i potwierdziła długoterminowe i krótkoterminowe ratingi kredytowe</w:t>
      </w:r>
      <w:r w:rsidRPr="001D1DF5">
        <w:rPr>
          <w:sz w:val="18"/>
          <w:szCs w:val="18"/>
        </w:rPr>
        <w:t xml:space="preserve"> spółek na poziomie „B/B”.</w:t>
      </w:r>
    </w:p>
    <w:p w14:paraId="702DEBA4" w14:textId="77777777" w:rsidR="00490F86" w:rsidRPr="001D1DF5" w:rsidRDefault="00490F86" w:rsidP="001D1DF5">
      <w:pPr>
        <w:jc w:val="both"/>
        <w:rPr>
          <w:sz w:val="18"/>
          <w:szCs w:val="18"/>
        </w:rPr>
      </w:pPr>
    </w:p>
    <w:p w14:paraId="2CB5EF69" w14:textId="42D2C28E" w:rsidR="00490F86" w:rsidRPr="001D1DF5" w:rsidRDefault="00FF15DF" w:rsidP="001D1DF5">
      <w:pPr>
        <w:jc w:val="both"/>
        <w:rPr>
          <w:sz w:val="18"/>
          <w:szCs w:val="18"/>
        </w:rPr>
      </w:pPr>
      <w:r w:rsidRPr="001D1DF5">
        <w:rPr>
          <w:sz w:val="18"/>
          <w:szCs w:val="18"/>
        </w:rPr>
        <w:t>S&amp;</w:t>
      </w:r>
      <w:r w:rsidRPr="001D1DF5">
        <w:rPr>
          <w:sz w:val="18"/>
          <w:szCs w:val="18"/>
        </w:rPr>
        <w:t xml:space="preserve">P podwyższyła także perspektywę długoterminowego ratingu </w:t>
      </w:r>
      <w:proofErr w:type="spellStart"/>
      <w:r w:rsidRPr="001D1DF5">
        <w:rPr>
          <w:sz w:val="18"/>
          <w:szCs w:val="18"/>
        </w:rPr>
        <w:t>Freedom</w:t>
      </w:r>
      <w:proofErr w:type="spellEnd"/>
      <w:r w:rsidRPr="001D1DF5">
        <w:rPr>
          <w:sz w:val="18"/>
          <w:szCs w:val="18"/>
        </w:rPr>
        <w:t xml:space="preserve"> Holding Corp. do stabilnej i podtrzymała rating na poziomie „B-”. Analitycy </w:t>
      </w:r>
      <w:proofErr w:type="spellStart"/>
      <w:r w:rsidRPr="001D1DF5">
        <w:rPr>
          <w:sz w:val="18"/>
          <w:szCs w:val="18"/>
        </w:rPr>
        <w:t>S&amp;</w:t>
      </w:r>
      <w:proofErr w:type="gramStart"/>
      <w:r w:rsidRPr="001D1DF5">
        <w:rPr>
          <w:sz w:val="18"/>
          <w:szCs w:val="18"/>
        </w:rPr>
        <w:t>amp;P</w:t>
      </w:r>
      <w:proofErr w:type="spellEnd"/>
      <w:proofErr w:type="gramEnd"/>
      <w:r w:rsidRPr="001D1DF5">
        <w:rPr>
          <w:sz w:val="18"/>
          <w:szCs w:val="18"/>
        </w:rPr>
        <w:t xml:space="preserve"> docenili wzmocnienie przez holding systemów zarządzania ryzykiem i zgodno</w:t>
      </w:r>
      <w:r w:rsidRPr="001D1DF5">
        <w:rPr>
          <w:sz w:val="18"/>
          <w:szCs w:val="18"/>
        </w:rPr>
        <w:t>ści, a także poprawę nadzoru bankowego w Kazachstanie.</w:t>
      </w:r>
    </w:p>
    <w:p w14:paraId="5AAE5A4C" w14:textId="77777777" w:rsidR="00490F86" w:rsidRPr="001D1DF5" w:rsidRDefault="00490F86" w:rsidP="001D1DF5">
      <w:pPr>
        <w:jc w:val="both"/>
        <w:rPr>
          <w:sz w:val="18"/>
          <w:szCs w:val="18"/>
        </w:rPr>
      </w:pPr>
    </w:p>
    <w:p w14:paraId="6DCAF690" w14:textId="7902ADE1" w:rsidR="00490F86" w:rsidRPr="001D1DF5" w:rsidRDefault="00FF15DF" w:rsidP="001D1DF5">
      <w:pPr>
        <w:jc w:val="both"/>
        <w:rPr>
          <w:sz w:val="18"/>
          <w:szCs w:val="18"/>
        </w:rPr>
      </w:pPr>
      <w:r w:rsidRPr="001D1DF5">
        <w:rPr>
          <w:sz w:val="18"/>
          <w:szCs w:val="18"/>
        </w:rPr>
        <w:t xml:space="preserve">– Pozytywne perspektywy dla </w:t>
      </w:r>
      <w:proofErr w:type="spellStart"/>
      <w:r w:rsidRPr="001D1DF5">
        <w:rPr>
          <w:sz w:val="18"/>
          <w:szCs w:val="18"/>
        </w:rPr>
        <w:t>Freedom</w:t>
      </w:r>
      <w:proofErr w:type="spellEnd"/>
      <w:r w:rsidRPr="001D1DF5">
        <w:rPr>
          <w:sz w:val="18"/>
          <w:szCs w:val="18"/>
        </w:rPr>
        <w:t xml:space="preserve"> Finance JSC, </w:t>
      </w:r>
      <w:proofErr w:type="spellStart"/>
      <w:r w:rsidRPr="001D1DF5">
        <w:rPr>
          <w:sz w:val="18"/>
          <w:szCs w:val="18"/>
        </w:rPr>
        <w:t>Freedom</w:t>
      </w:r>
      <w:proofErr w:type="spellEnd"/>
      <w:r w:rsidRPr="001D1DF5">
        <w:rPr>
          <w:sz w:val="18"/>
          <w:szCs w:val="18"/>
        </w:rPr>
        <w:t xml:space="preserve"> Finance Global PLC, </w:t>
      </w:r>
      <w:proofErr w:type="spellStart"/>
      <w:r w:rsidRPr="001D1DF5">
        <w:rPr>
          <w:sz w:val="18"/>
          <w:szCs w:val="18"/>
        </w:rPr>
        <w:t>Freedom</w:t>
      </w:r>
      <w:proofErr w:type="spellEnd"/>
      <w:r w:rsidRPr="001D1DF5">
        <w:rPr>
          <w:sz w:val="18"/>
          <w:szCs w:val="18"/>
        </w:rPr>
        <w:t xml:space="preserve"> Finance Europe Ltd. (Freedom24) i Bank </w:t>
      </w:r>
      <w:proofErr w:type="spellStart"/>
      <w:r w:rsidRPr="001D1DF5">
        <w:rPr>
          <w:sz w:val="18"/>
          <w:szCs w:val="18"/>
        </w:rPr>
        <w:t>Freedom</w:t>
      </w:r>
      <w:proofErr w:type="spellEnd"/>
      <w:r w:rsidRPr="001D1DF5">
        <w:rPr>
          <w:sz w:val="18"/>
          <w:szCs w:val="18"/>
        </w:rPr>
        <w:t xml:space="preserve"> Finance </w:t>
      </w:r>
      <w:proofErr w:type="spellStart"/>
      <w:r w:rsidRPr="001D1DF5">
        <w:rPr>
          <w:sz w:val="18"/>
          <w:szCs w:val="18"/>
        </w:rPr>
        <w:t>Kazakhstan</w:t>
      </w:r>
      <w:proofErr w:type="spellEnd"/>
      <w:r w:rsidRPr="001D1DF5">
        <w:rPr>
          <w:sz w:val="18"/>
          <w:szCs w:val="18"/>
        </w:rPr>
        <w:t xml:space="preserve"> odzwierciedlają nasz pogląd, że dobra odporność s</w:t>
      </w:r>
      <w:r w:rsidRPr="001D1DF5">
        <w:rPr>
          <w:sz w:val="18"/>
          <w:szCs w:val="18"/>
        </w:rPr>
        <w:t xml:space="preserve">ektora finansowego Kazachstanu na ostatnie wyzwania gospodarcze, stopniowe wzmacnianie nadzoru finansowego i dalsze wzmacnianie zarządzania ryzykiem i kapitalizacji grupy </w:t>
      </w:r>
      <w:proofErr w:type="spellStart"/>
      <w:r w:rsidRPr="001D1DF5">
        <w:rPr>
          <w:sz w:val="18"/>
          <w:szCs w:val="18"/>
        </w:rPr>
        <w:t>Freedom</w:t>
      </w:r>
      <w:proofErr w:type="spellEnd"/>
      <w:r w:rsidRPr="001D1DF5">
        <w:rPr>
          <w:sz w:val="18"/>
          <w:szCs w:val="18"/>
        </w:rPr>
        <w:t xml:space="preserve"> będzie wspierać jej spółki przez następne 12 miesięcy – czytamy w oświadczeni</w:t>
      </w:r>
      <w:r w:rsidRPr="001D1DF5">
        <w:rPr>
          <w:sz w:val="18"/>
          <w:szCs w:val="18"/>
        </w:rPr>
        <w:t>u S&amp;</w:t>
      </w:r>
      <w:r w:rsidRPr="001D1DF5">
        <w:rPr>
          <w:sz w:val="18"/>
          <w:szCs w:val="18"/>
        </w:rPr>
        <w:t>P.</w:t>
      </w:r>
    </w:p>
    <w:p w14:paraId="1E61F42A" w14:textId="77777777" w:rsidR="00490F86" w:rsidRPr="001D1DF5" w:rsidRDefault="00490F86" w:rsidP="001D1DF5">
      <w:pPr>
        <w:jc w:val="both"/>
        <w:rPr>
          <w:sz w:val="18"/>
          <w:szCs w:val="18"/>
        </w:rPr>
      </w:pPr>
    </w:p>
    <w:p w14:paraId="2EE0C0DB" w14:textId="38873069" w:rsidR="00490F86" w:rsidRPr="001D1DF5" w:rsidRDefault="00FF15DF" w:rsidP="001D1DF5">
      <w:pPr>
        <w:jc w:val="both"/>
        <w:rPr>
          <w:sz w:val="18"/>
          <w:szCs w:val="18"/>
        </w:rPr>
      </w:pPr>
      <w:r w:rsidRPr="001D1DF5">
        <w:rPr>
          <w:sz w:val="18"/>
          <w:szCs w:val="18"/>
        </w:rPr>
        <w:t xml:space="preserve">Agencja spodziewa się, że </w:t>
      </w:r>
      <w:proofErr w:type="spellStart"/>
      <w:r w:rsidRPr="001D1DF5">
        <w:rPr>
          <w:sz w:val="18"/>
          <w:szCs w:val="18"/>
        </w:rPr>
        <w:t>Freedom</w:t>
      </w:r>
      <w:proofErr w:type="spellEnd"/>
      <w:r w:rsidRPr="001D1DF5">
        <w:rPr>
          <w:sz w:val="18"/>
          <w:szCs w:val="18"/>
        </w:rPr>
        <w:t xml:space="preserve"> Holding Corp. „utrzyma wysokie wyniki w latach 2024–2025, czemu będzie sprzyjać dywersyfikacja przychodów wraz z rozwojem działalności bankowej i ubezpieczeniowej w Kazachstanie”. „W naszym scenariuszu bazowym </w:t>
      </w:r>
      <w:r w:rsidRPr="001D1DF5">
        <w:rPr>
          <w:sz w:val="18"/>
          <w:szCs w:val="18"/>
        </w:rPr>
        <w:t>spodziewamy się, że współczynnik kapitału skorygowanego o ryzyko (RAC) grupy utrzyma się na poziomie powyżej 10% w ciągu najbliższych 12–24 miesięcy w porównaniu z 11,6% na 31 marca 2024 r. i 9,4% rok wcześniej</w:t>
      </w:r>
      <w:r w:rsidRPr="001D1DF5">
        <w:rPr>
          <w:sz w:val="18"/>
          <w:szCs w:val="18"/>
        </w:rPr>
        <w:t>”</w:t>
      </w:r>
      <w:r w:rsidR="00A4344D" w:rsidRPr="001D1DF5">
        <w:rPr>
          <w:sz w:val="18"/>
          <w:szCs w:val="18"/>
        </w:rPr>
        <w:t>.</w:t>
      </w:r>
    </w:p>
    <w:p w14:paraId="7F5363FA" w14:textId="77777777" w:rsidR="00490F86" w:rsidRPr="001D1DF5" w:rsidRDefault="00490F86" w:rsidP="001D1DF5">
      <w:pPr>
        <w:jc w:val="both"/>
        <w:rPr>
          <w:sz w:val="18"/>
          <w:szCs w:val="18"/>
        </w:rPr>
      </w:pPr>
    </w:p>
    <w:p w14:paraId="3D2F6688" w14:textId="17EEA059" w:rsidR="00490F86" w:rsidRPr="001D1DF5" w:rsidRDefault="00FF15DF" w:rsidP="001D1DF5">
      <w:pPr>
        <w:jc w:val="both"/>
        <w:rPr>
          <w:sz w:val="18"/>
          <w:szCs w:val="18"/>
        </w:rPr>
      </w:pPr>
      <w:r w:rsidRPr="001D1DF5">
        <w:rPr>
          <w:sz w:val="18"/>
          <w:szCs w:val="18"/>
        </w:rPr>
        <w:t>S&amp;</w:t>
      </w:r>
      <w:r w:rsidRPr="001D1DF5">
        <w:rPr>
          <w:sz w:val="18"/>
          <w:szCs w:val="18"/>
        </w:rPr>
        <w:t>P odnotowała wysiłki spółki holding</w:t>
      </w:r>
      <w:r w:rsidRPr="001D1DF5">
        <w:rPr>
          <w:sz w:val="18"/>
          <w:szCs w:val="18"/>
        </w:rPr>
        <w:t xml:space="preserve">owej mające na celu wzmocnienie ładu korporacyjnego. – W 2023 roku grupa </w:t>
      </w:r>
      <w:proofErr w:type="spellStart"/>
      <w:r w:rsidRPr="001D1DF5">
        <w:rPr>
          <w:sz w:val="18"/>
          <w:szCs w:val="18"/>
        </w:rPr>
        <w:t>Freedom</w:t>
      </w:r>
      <w:proofErr w:type="spellEnd"/>
      <w:r w:rsidRPr="001D1DF5">
        <w:rPr>
          <w:sz w:val="18"/>
          <w:szCs w:val="18"/>
        </w:rPr>
        <w:t xml:space="preserve"> rozpoczęła budowanie skonsolidowanych ram zarządzania ryzykiem. Niedawno zatrudniła dyrektora ds. ryzyka, dyrektora ds. zgodności i dyrektora prawnego. W maju 2024 r. zwiększy</w:t>
      </w:r>
      <w:r w:rsidRPr="001D1DF5">
        <w:rPr>
          <w:sz w:val="18"/>
          <w:szCs w:val="18"/>
        </w:rPr>
        <w:t>ła liczbę dyrektorów w swoim zarządzie do siedmiu z sześciu, z czego czterech jest niezależnych i posiada międzynarodowe doświadczenie</w:t>
      </w:r>
      <w:r w:rsidRPr="001D1DF5">
        <w:rPr>
          <w:sz w:val="18"/>
          <w:szCs w:val="18"/>
        </w:rPr>
        <w:t xml:space="preserve"> – czytamy w oświadczeniu.</w:t>
      </w:r>
    </w:p>
    <w:p w14:paraId="5E7D3ADC" w14:textId="77777777" w:rsidR="00490F86" w:rsidRPr="001D1DF5" w:rsidRDefault="00490F86" w:rsidP="001D1DF5">
      <w:pPr>
        <w:jc w:val="both"/>
        <w:rPr>
          <w:sz w:val="18"/>
          <w:szCs w:val="18"/>
        </w:rPr>
      </w:pPr>
    </w:p>
    <w:p w14:paraId="0547E065" w14:textId="77777777" w:rsidR="00490F86" w:rsidRPr="001D1DF5" w:rsidRDefault="00FF15DF" w:rsidP="001D1DF5">
      <w:pPr>
        <w:jc w:val="both"/>
        <w:rPr>
          <w:sz w:val="18"/>
          <w:szCs w:val="18"/>
        </w:rPr>
      </w:pPr>
      <w:r w:rsidRPr="001D1DF5">
        <w:rPr>
          <w:sz w:val="18"/>
          <w:szCs w:val="18"/>
        </w:rPr>
        <w:t xml:space="preserve">Agencja może w ciągu najbliższego roku podnieść ratingi przedsiębiorstw </w:t>
      </w:r>
      <w:proofErr w:type="spellStart"/>
      <w:r w:rsidRPr="001D1DF5">
        <w:rPr>
          <w:sz w:val="18"/>
          <w:szCs w:val="18"/>
        </w:rPr>
        <w:t>Freedom</w:t>
      </w:r>
      <w:proofErr w:type="spellEnd"/>
      <w:r w:rsidRPr="001D1DF5">
        <w:rPr>
          <w:sz w:val="18"/>
          <w:szCs w:val="18"/>
        </w:rPr>
        <w:t xml:space="preserve"> Holding Corp.</w:t>
      </w:r>
      <w:r w:rsidRPr="001D1DF5">
        <w:rPr>
          <w:sz w:val="18"/>
          <w:szCs w:val="18"/>
        </w:rPr>
        <w:t>, jeżeli utrzymają się pozytywne tendencje z ostatnich miesięcy.</w:t>
      </w:r>
    </w:p>
    <w:p w14:paraId="31782755" w14:textId="77777777" w:rsidR="00490F86" w:rsidRPr="001D1DF5" w:rsidRDefault="00490F86" w:rsidP="001D1DF5">
      <w:pPr>
        <w:jc w:val="both"/>
        <w:rPr>
          <w:sz w:val="18"/>
          <w:szCs w:val="18"/>
        </w:rPr>
      </w:pPr>
    </w:p>
    <w:p w14:paraId="6989BAE6" w14:textId="49C76A86" w:rsidR="00490F86" w:rsidRPr="001D1DF5" w:rsidRDefault="00FF15DF" w:rsidP="001D1DF5">
      <w:pPr>
        <w:jc w:val="both"/>
        <w:rPr>
          <w:sz w:val="18"/>
          <w:szCs w:val="18"/>
        </w:rPr>
      </w:pPr>
      <w:r w:rsidRPr="001D1DF5">
        <w:rPr>
          <w:sz w:val="18"/>
          <w:szCs w:val="18"/>
        </w:rPr>
        <w:t>– Podwyższylibyśmy nasze ratingi dla operacyjnych spółek zależnych w ciągu najbliższych 12 miesięcy, jeśli stwierdzimy, że działania mające na celu budowanie zagregowanego zarządzania ryzyki</w:t>
      </w:r>
      <w:r w:rsidRPr="001D1DF5">
        <w:rPr>
          <w:sz w:val="18"/>
          <w:szCs w:val="18"/>
        </w:rPr>
        <w:t>em i zgodnością oraz wzmocnienie zarządzania ryzykiem będą trwałe, podczas gdy nasz wskaźnik RAC utrzyma się na poziomie powyżej 10%, czemu sprzyjają wysokie zyski i umiarkowany wzrost – napisali w oświadczeniu analitycy S&amp;</w:t>
      </w:r>
      <w:r w:rsidRPr="001D1DF5">
        <w:rPr>
          <w:sz w:val="18"/>
          <w:szCs w:val="18"/>
        </w:rPr>
        <w:t>P.</w:t>
      </w:r>
    </w:p>
    <w:p w14:paraId="63D3ED48" w14:textId="77777777" w:rsidR="00490F86" w:rsidRDefault="00490F86" w:rsidP="001D1DF5">
      <w:pPr>
        <w:jc w:val="center"/>
      </w:pPr>
    </w:p>
    <w:p w14:paraId="23BD41BF" w14:textId="796CB437" w:rsidR="00490F86" w:rsidRDefault="00FF15DF" w:rsidP="001D1DF5">
      <w:pPr>
        <w:jc w:val="center"/>
      </w:pPr>
      <w:r>
        <w:t>***</w:t>
      </w:r>
    </w:p>
    <w:p w14:paraId="27802F0D" w14:textId="5A4A9D63" w:rsidR="001D1DF5" w:rsidRDefault="00FF15DF" w:rsidP="001D1DF5">
      <w:pPr>
        <w:jc w:val="both"/>
        <w:rPr>
          <w:color w:val="7A8086"/>
          <w:sz w:val="16"/>
        </w:rPr>
      </w:pPr>
      <w:r w:rsidRPr="001D1DF5">
        <w:rPr>
          <w:b/>
          <w:bCs/>
          <w:color w:val="7A8086"/>
          <w:sz w:val="16"/>
        </w:rPr>
        <w:t>Freedom24</w:t>
      </w:r>
      <w:r w:rsidR="001D1DF5">
        <w:rPr>
          <w:color w:val="7A8086"/>
          <w:sz w:val="16"/>
        </w:rPr>
        <w:t xml:space="preserve"> </w:t>
      </w:r>
      <w:r>
        <w:rPr>
          <w:color w:val="7A8086"/>
          <w:sz w:val="16"/>
        </w:rPr>
        <w:t>to broker i</w:t>
      </w:r>
      <w:r>
        <w:rPr>
          <w:color w:val="7A8086"/>
          <w:sz w:val="16"/>
        </w:rPr>
        <w:t xml:space="preserve">nternetowy będący częścią międzynarodowej grupy inwestycyjnej </w:t>
      </w:r>
      <w:proofErr w:type="spellStart"/>
      <w:r>
        <w:rPr>
          <w:color w:val="7A8086"/>
          <w:sz w:val="16"/>
        </w:rPr>
        <w:t>Freedom</w:t>
      </w:r>
      <w:proofErr w:type="spellEnd"/>
      <w:r>
        <w:rPr>
          <w:color w:val="7A8086"/>
          <w:sz w:val="16"/>
        </w:rPr>
        <w:t xml:space="preserve"> Holding Corp. Akcje holdingu notowane są na giełdzie NASDAQ, a jego działalność jest regulowana przez amerykańską Komisję Papierów Wartościowych i Giełd (SEC). Freedom24 oferuje swoim kl</w:t>
      </w:r>
      <w:r>
        <w:rPr>
          <w:color w:val="7A8086"/>
          <w:sz w:val="16"/>
        </w:rPr>
        <w:t>ientom bezpośredni dostęp do największych światowych giełd papierów wartościowych, profesjonalną analitykę papierów wartościowych oraz dedykowane aplikacje handlowe.</w:t>
      </w:r>
    </w:p>
    <w:p w14:paraId="7B84BF18" w14:textId="77777777" w:rsidR="001D1DF5" w:rsidRDefault="001D1DF5" w:rsidP="001D1DF5">
      <w:pPr>
        <w:jc w:val="both"/>
        <w:rPr>
          <w:color w:val="7A8086"/>
          <w:sz w:val="16"/>
        </w:rPr>
      </w:pPr>
    </w:p>
    <w:p w14:paraId="70A508AC" w14:textId="2EA3FDA5" w:rsidR="001D1DF5" w:rsidRDefault="00FF15DF" w:rsidP="001D1DF5">
      <w:pPr>
        <w:jc w:val="both"/>
        <w:rPr>
          <w:color w:val="7A8086"/>
          <w:sz w:val="16"/>
        </w:rPr>
      </w:pPr>
      <w:r>
        <w:rPr>
          <w:color w:val="7A8086"/>
          <w:sz w:val="16"/>
        </w:rPr>
        <w:t>Platforma Freedom24 jest dostępna dla użytkowników w Polsce od 2021 roku z biurem przedstaw</w:t>
      </w:r>
      <w:r>
        <w:rPr>
          <w:color w:val="7A8086"/>
          <w:sz w:val="16"/>
        </w:rPr>
        <w:t>icielskim zlokalizowanym w Warszawie oferującym wsparcie użytkownikom w języku polskim.</w:t>
      </w:r>
    </w:p>
    <w:p w14:paraId="64467B94" w14:textId="77777777" w:rsidR="001D1DF5" w:rsidRDefault="001D1DF5" w:rsidP="001D1DF5">
      <w:pPr>
        <w:jc w:val="both"/>
        <w:rPr>
          <w:color w:val="7A8086"/>
          <w:sz w:val="16"/>
        </w:rPr>
      </w:pPr>
    </w:p>
    <w:p w14:paraId="62DDA3DC" w14:textId="7EFFD865" w:rsidR="00490F86" w:rsidRPr="001D1DF5" w:rsidRDefault="00FF15DF" w:rsidP="001D1DF5">
      <w:pPr>
        <w:jc w:val="both"/>
        <w:rPr>
          <w:color w:val="7A8086"/>
          <w:sz w:val="16"/>
        </w:rPr>
      </w:pPr>
      <w:r>
        <w:rPr>
          <w:color w:val="7A8086"/>
          <w:sz w:val="16"/>
        </w:rPr>
        <w:t xml:space="preserve">Więcej informacji można znaleźć na stronie internetowej: </w:t>
      </w:r>
      <w:hyperlink r:id="rId6" w:history="1">
        <w:r w:rsidR="001D1DF5" w:rsidRPr="001D19F9">
          <w:rPr>
            <w:rStyle w:val="Hipercze"/>
            <w:sz w:val="16"/>
          </w:rPr>
          <w:t>www.freedom24.com</w:t>
        </w:r>
      </w:hyperlink>
      <w:r w:rsidR="001D1DF5">
        <w:rPr>
          <w:color w:val="7A8086"/>
          <w:sz w:val="16"/>
        </w:rPr>
        <w:t xml:space="preserve"> </w:t>
      </w:r>
    </w:p>
    <w:sectPr w:rsidR="00490F86" w:rsidRPr="001D1D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95D21" w14:textId="77777777" w:rsidR="00FF15DF" w:rsidRDefault="00FF15DF" w:rsidP="00A4344D">
      <w:pPr>
        <w:spacing w:line="240" w:lineRule="auto"/>
      </w:pPr>
      <w:r>
        <w:separator/>
      </w:r>
    </w:p>
  </w:endnote>
  <w:endnote w:type="continuationSeparator" w:id="0">
    <w:p w14:paraId="2A3F1330" w14:textId="77777777" w:rsidR="00FF15DF" w:rsidRDefault="00FF15DF" w:rsidP="00A434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D15D7" w14:textId="77777777" w:rsidR="00A4344D" w:rsidRDefault="00A4344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A4124" w14:textId="77777777" w:rsidR="00A4344D" w:rsidRDefault="00A4344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B342B" w14:textId="77777777" w:rsidR="00A4344D" w:rsidRDefault="00A434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DA416" w14:textId="77777777" w:rsidR="00FF15DF" w:rsidRDefault="00FF15DF" w:rsidP="00A4344D">
      <w:pPr>
        <w:spacing w:line="240" w:lineRule="auto"/>
      </w:pPr>
      <w:r>
        <w:separator/>
      </w:r>
    </w:p>
  </w:footnote>
  <w:footnote w:type="continuationSeparator" w:id="0">
    <w:p w14:paraId="53310E19" w14:textId="77777777" w:rsidR="00FF15DF" w:rsidRDefault="00FF15DF" w:rsidP="00A4344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31D82" w14:textId="77777777" w:rsidR="00A4344D" w:rsidRDefault="00A4344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75ADF" w14:textId="77777777" w:rsidR="00A4344D" w:rsidRDefault="00A4344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707E5" w14:textId="77777777" w:rsidR="00A4344D" w:rsidRDefault="00A4344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90F86"/>
    <w:rsid w:val="001D1DF5"/>
    <w:rsid w:val="00490F86"/>
    <w:rsid w:val="00A4344D"/>
    <w:rsid w:val="00FF1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C0075B"/>
  <w15:docId w15:val="{565F91F6-14BA-C44E-A9C7-6BE8B076D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333333"/>
        <w:lang w:val="pl-PL" w:eastAsia="pl-PL" w:bidi="ar-SA"/>
      </w:rPr>
    </w:rPrDefault>
    <w:pPrDefault>
      <w:pPr>
        <w:spacing w:line="32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spacing w:after="120"/>
      <w:contextualSpacing/>
      <w:outlineLvl w:val="0"/>
    </w:pPr>
    <w:rPr>
      <w:rFonts w:ascii="Palatino" w:eastAsia="Palatino" w:hAnsi="Palatino" w:cs="Palatino"/>
      <w:sz w:val="36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spacing w:before="120" w:after="160"/>
      <w:contextualSpacing/>
      <w:outlineLvl w:val="1"/>
    </w:pPr>
    <w:rPr>
      <w:b/>
      <w:sz w:val="2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spacing w:before="120" w:after="160"/>
      <w:contextualSpacing/>
      <w:outlineLvl w:val="2"/>
    </w:pPr>
    <w:rPr>
      <w:b/>
      <w:i/>
      <w:color w:val="666666"/>
      <w:sz w:val="24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spacing w:before="120" w:after="120"/>
      <w:contextualSpacing/>
      <w:outlineLvl w:val="3"/>
    </w:pPr>
    <w:rPr>
      <w:rFonts w:ascii="Palatino" w:eastAsia="Palatino" w:hAnsi="Palatino" w:cs="Palatino"/>
      <w:b/>
      <w:sz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spacing w:before="120" w:after="120"/>
      <w:contextualSpacing/>
      <w:outlineLvl w:val="4"/>
    </w:pPr>
    <w:rPr>
      <w:b/>
      <w:sz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spacing w:before="120" w:after="120"/>
      <w:contextualSpacing/>
      <w:outlineLvl w:val="5"/>
    </w:pPr>
    <w:rPr>
      <w:i/>
      <w:color w:val="666666"/>
      <w:sz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pPr>
      <w:spacing w:line="459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contextualSpacing/>
    </w:pPr>
    <w:rPr>
      <w:rFonts w:ascii="Palatino" w:eastAsia="Palatino" w:hAnsi="Palatino" w:cs="Palatino"/>
      <w:sz w:val="60"/>
    </w:rPr>
  </w:style>
  <w:style w:type="paragraph" w:styleId="Podtytu">
    <w:name w:val="Subtitle"/>
    <w:basedOn w:val="Normalny"/>
    <w:next w:val="Normalny"/>
    <w:uiPriority w:val="11"/>
    <w:qFormat/>
    <w:pPr>
      <w:spacing w:before="60"/>
      <w:contextualSpacing/>
    </w:pPr>
    <w:rPr>
      <w:sz w:val="2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4344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344D"/>
  </w:style>
  <w:style w:type="paragraph" w:styleId="Stopka">
    <w:name w:val="footer"/>
    <w:basedOn w:val="Normalny"/>
    <w:link w:val="StopkaZnak"/>
    <w:uiPriority w:val="99"/>
    <w:unhideWhenUsed/>
    <w:rsid w:val="00A4344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344D"/>
  </w:style>
  <w:style w:type="character" w:styleId="Hipercze">
    <w:name w:val="Hyperlink"/>
    <w:basedOn w:val="Domylnaczcionkaakapitu"/>
    <w:uiPriority w:val="99"/>
    <w:unhideWhenUsed/>
    <w:rsid w:val="001D1DF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D1D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reedom24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514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ad2320da112e5fa4d1bf951c140ebc030908fe14d323f7e26122de2c7e719a3fs-p-global-ratings-podwyzsza-pers20240729-9-w1qdbp.docx</vt:lpstr>
    </vt:vector>
  </TitlesOfParts>
  <Company/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ad2320da112e5fa4d1bf951c140ebc030908fe14d323f7e26122de2c7e719a3fs-p-global-ratings-podwyzsza-pers20240729-9-w1qdbp.docx</dc:title>
  <cp:lastModifiedBy>Agata Matusiewicz</cp:lastModifiedBy>
  <cp:revision>2</cp:revision>
  <dcterms:created xsi:type="dcterms:W3CDTF">2024-07-29T16:26:00Z</dcterms:created>
  <dcterms:modified xsi:type="dcterms:W3CDTF">2024-07-29T16:40:00Z</dcterms:modified>
</cp:coreProperties>
</file>