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7F03" w14:textId="2C8E7334" w:rsidR="001B635A" w:rsidRPr="00ED065A" w:rsidRDefault="0000708C" w:rsidP="00B36308">
      <w:pPr>
        <w:spacing w:after="200"/>
        <w:jc w:val="both"/>
        <w:rPr>
          <w:rFonts w:ascii="Calibri" w:hAnsi="Calibri" w:cs="Calibri"/>
          <w:b/>
          <w:sz w:val="28"/>
          <w:szCs w:val="28"/>
        </w:rPr>
      </w:pPr>
      <w:r w:rsidRPr="00ED065A">
        <w:rPr>
          <w:rFonts w:ascii="Calibri" w:hAnsi="Calibri" w:cs="Calibri"/>
          <w:b/>
          <w:sz w:val="28"/>
          <w:szCs w:val="28"/>
        </w:rPr>
        <w:t>Regały wysokiego składowania na 49 tys. palet w centrum dystrybucji TROTEC</w:t>
      </w:r>
    </w:p>
    <w:p w14:paraId="5AACA794" w14:textId="0C51E172" w:rsidR="00885D63" w:rsidRPr="00ED065A" w:rsidRDefault="00885D63" w:rsidP="00885D63">
      <w:pPr>
        <w:spacing w:after="20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ED065A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odpowiedzi na rosnący popyt na urządzenia HVAC, firma TROTEC zdecydowała się usprawnić procesy logistyczne, konsolidując magazyny i tworząc centralne, wydajne centrum dystrybucji z magazynem wysokiego składowania na 49 tys. palet.</w:t>
      </w:r>
    </w:p>
    <w:p w14:paraId="1EAB1841" w14:textId="4F045C23" w:rsidR="00885D63" w:rsidRPr="00ED065A" w:rsidRDefault="00885D63" w:rsidP="00E271CA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ED065A">
        <w:rPr>
          <w:rFonts w:ascii="Calibri" w:hAnsi="Calibri" w:cs="Calibri"/>
          <w:bCs/>
          <w:sz w:val="22"/>
          <w:szCs w:val="22"/>
        </w:rPr>
        <w:t xml:space="preserve">TROTEC GmbH od ponad trzech dekad wytwarza i sprzedaje urządzenia grzewcze i klimatyzacyjne oraz narzędzia i przyrządy pomiarowe dla przemysłu, handlu i gospodarstw domowych. W związku z rosnącym popytem na produkty firmy zdecydowano się na budowę nowoczesnego obiektu produkcyjno-logistycznego przy siedzibie przedsiębiorstwa w </w:t>
      </w:r>
      <w:proofErr w:type="spellStart"/>
      <w:r w:rsidRPr="00ED065A">
        <w:rPr>
          <w:rFonts w:ascii="Calibri" w:hAnsi="Calibri" w:cs="Calibri"/>
          <w:bCs/>
          <w:sz w:val="22"/>
          <w:szCs w:val="22"/>
        </w:rPr>
        <w:t>Heinsbergu</w:t>
      </w:r>
      <w:proofErr w:type="spellEnd"/>
      <w:r w:rsidRPr="00ED065A">
        <w:rPr>
          <w:rFonts w:ascii="Calibri" w:hAnsi="Calibri" w:cs="Calibri"/>
          <w:bCs/>
          <w:sz w:val="22"/>
          <w:szCs w:val="22"/>
        </w:rPr>
        <w:t xml:space="preserve">. Kompleks służy m.in. jako główne centrum dystrybucji w Niemczech duńskiej grupy </w:t>
      </w:r>
      <w:proofErr w:type="spellStart"/>
      <w:r w:rsidRPr="00ED065A">
        <w:rPr>
          <w:rFonts w:ascii="Calibri" w:hAnsi="Calibri" w:cs="Calibri"/>
          <w:bCs/>
          <w:sz w:val="22"/>
          <w:szCs w:val="22"/>
        </w:rPr>
        <w:t>Dantherm</w:t>
      </w:r>
      <w:proofErr w:type="spellEnd"/>
      <w:r w:rsidRPr="00ED065A">
        <w:rPr>
          <w:rFonts w:ascii="Calibri" w:hAnsi="Calibri" w:cs="Calibri"/>
          <w:bCs/>
          <w:sz w:val="22"/>
          <w:szCs w:val="22"/>
        </w:rPr>
        <w:t>, z którą połączyła się firma TROTEC.</w:t>
      </w:r>
      <w:r w:rsidR="00ED065A" w:rsidRPr="00ED065A">
        <w:rPr>
          <w:rFonts w:ascii="Calibri" w:hAnsi="Calibri" w:cs="Calibri"/>
          <w:bCs/>
          <w:sz w:val="22"/>
          <w:szCs w:val="22"/>
        </w:rPr>
        <w:t xml:space="preserve"> </w:t>
      </w:r>
      <w:r w:rsidRPr="00ED065A">
        <w:rPr>
          <w:rFonts w:ascii="Calibri" w:hAnsi="Calibri" w:cs="Calibri"/>
          <w:bCs/>
          <w:sz w:val="22"/>
          <w:szCs w:val="22"/>
        </w:rPr>
        <w:t>Centralny obiekt logistyczny miał zastąpić 7 mniejszych magazynów. Obiekt projektowano tak, by był w stanie w szczycie sezonu obsłuży</w:t>
      </w:r>
      <w:r w:rsidR="0017422C" w:rsidRPr="00ED065A">
        <w:rPr>
          <w:rFonts w:ascii="Calibri" w:hAnsi="Calibri" w:cs="Calibri"/>
          <w:bCs/>
          <w:sz w:val="22"/>
          <w:szCs w:val="22"/>
        </w:rPr>
        <w:t>ć</w:t>
      </w:r>
      <w:r w:rsidRPr="00ED065A">
        <w:rPr>
          <w:rFonts w:ascii="Calibri" w:hAnsi="Calibri" w:cs="Calibri"/>
          <w:bCs/>
          <w:sz w:val="22"/>
          <w:szCs w:val="22"/>
        </w:rPr>
        <w:t xml:space="preserve"> </w:t>
      </w:r>
      <w:r w:rsidR="0017422C" w:rsidRPr="00ED065A">
        <w:rPr>
          <w:rFonts w:ascii="Calibri" w:hAnsi="Calibri" w:cs="Calibri"/>
          <w:bCs/>
          <w:sz w:val="22"/>
          <w:szCs w:val="22"/>
        </w:rPr>
        <w:t xml:space="preserve">jednego dnia </w:t>
      </w:r>
      <w:r w:rsidRPr="00ED065A">
        <w:rPr>
          <w:rFonts w:ascii="Calibri" w:hAnsi="Calibri" w:cs="Calibri"/>
          <w:bCs/>
          <w:sz w:val="22"/>
          <w:szCs w:val="22"/>
        </w:rPr>
        <w:t xml:space="preserve">nawet 15 tys. zamówień. Nowy, </w:t>
      </w:r>
      <w:r w:rsidR="0017422C" w:rsidRPr="00ED065A">
        <w:rPr>
          <w:rFonts w:ascii="Calibri" w:hAnsi="Calibri" w:cs="Calibri"/>
          <w:bCs/>
          <w:sz w:val="22"/>
          <w:szCs w:val="22"/>
        </w:rPr>
        <w:t>mający</w:t>
      </w:r>
      <w:r w:rsidRPr="00ED065A">
        <w:rPr>
          <w:rFonts w:ascii="Calibri" w:hAnsi="Calibri" w:cs="Calibri"/>
          <w:bCs/>
          <w:sz w:val="22"/>
          <w:szCs w:val="22"/>
        </w:rPr>
        <w:t xml:space="preserve"> 55</w:t>
      </w:r>
      <w:r w:rsidR="0017422C" w:rsidRPr="00ED065A">
        <w:rPr>
          <w:rFonts w:ascii="Calibri" w:hAnsi="Calibri" w:cs="Calibri"/>
          <w:bCs/>
          <w:sz w:val="22"/>
          <w:szCs w:val="22"/>
        </w:rPr>
        <w:t> </w:t>
      </w:r>
      <w:r w:rsidRPr="00ED065A">
        <w:rPr>
          <w:rFonts w:ascii="Calibri" w:hAnsi="Calibri" w:cs="Calibri"/>
          <w:bCs/>
          <w:sz w:val="22"/>
          <w:szCs w:val="22"/>
        </w:rPr>
        <w:t>tys.</w:t>
      </w:r>
      <w:r w:rsidR="0017422C" w:rsidRPr="00ED065A">
        <w:rPr>
          <w:rFonts w:ascii="Calibri" w:hAnsi="Calibri" w:cs="Calibri"/>
          <w:bCs/>
          <w:sz w:val="22"/>
          <w:szCs w:val="22"/>
        </w:rPr>
        <w:t> </w:t>
      </w:r>
      <w:r w:rsidRPr="00ED065A">
        <w:rPr>
          <w:rFonts w:ascii="Calibri" w:hAnsi="Calibri" w:cs="Calibri"/>
          <w:bCs/>
          <w:sz w:val="22"/>
          <w:szCs w:val="22"/>
        </w:rPr>
        <w:t xml:space="preserve">mkw. powierzchni kompleks z magazynem wysokiego składowania pozwolił </w:t>
      </w:r>
      <w:r w:rsidR="0017422C" w:rsidRPr="00ED065A">
        <w:rPr>
          <w:rFonts w:ascii="Calibri" w:hAnsi="Calibri" w:cs="Calibri"/>
          <w:bCs/>
          <w:sz w:val="22"/>
          <w:szCs w:val="22"/>
        </w:rPr>
        <w:t xml:space="preserve">pomieścić znaczną liczbę palet </w:t>
      </w:r>
      <w:r w:rsidRPr="00ED065A">
        <w:rPr>
          <w:rFonts w:ascii="Calibri" w:hAnsi="Calibri" w:cs="Calibri"/>
          <w:bCs/>
          <w:sz w:val="22"/>
          <w:szCs w:val="22"/>
        </w:rPr>
        <w:t>i</w:t>
      </w:r>
      <w:r w:rsidR="0017422C" w:rsidRPr="00ED065A">
        <w:rPr>
          <w:rFonts w:ascii="Calibri" w:hAnsi="Calibri" w:cs="Calibri"/>
          <w:bCs/>
          <w:sz w:val="22"/>
          <w:szCs w:val="22"/>
        </w:rPr>
        <w:t xml:space="preserve"> </w:t>
      </w:r>
      <w:r w:rsidRPr="00ED065A">
        <w:rPr>
          <w:rFonts w:ascii="Calibri" w:hAnsi="Calibri" w:cs="Calibri"/>
          <w:bCs/>
          <w:sz w:val="22"/>
          <w:szCs w:val="22"/>
        </w:rPr>
        <w:t xml:space="preserve">zreorganizować procesy dostaw. </w:t>
      </w:r>
      <w:r w:rsidR="009558A4" w:rsidRPr="00ED065A">
        <w:rPr>
          <w:rFonts w:ascii="Calibri" w:hAnsi="Calibri" w:cs="Calibri"/>
          <w:bCs/>
          <w:i/>
          <w:iCs/>
          <w:sz w:val="22"/>
          <w:szCs w:val="22"/>
        </w:rPr>
        <w:t xml:space="preserve">– Regionalne magazyny zajmujące się realizacją zamówień i obsługą zwrotów zostały połączone w jedno centrum logistyczno-produkcyjne. W ramach tej restrukturyzacji procesy i infrastruktura </w:t>
      </w:r>
      <w:proofErr w:type="spellStart"/>
      <w:r w:rsidR="009558A4" w:rsidRPr="00ED065A">
        <w:rPr>
          <w:rFonts w:ascii="Calibri" w:hAnsi="Calibri" w:cs="Calibri"/>
          <w:bCs/>
          <w:i/>
          <w:iCs/>
          <w:sz w:val="22"/>
          <w:szCs w:val="22"/>
        </w:rPr>
        <w:t>intralogisty</w:t>
      </w:r>
      <w:r w:rsidR="0017422C" w:rsidRPr="00ED065A">
        <w:rPr>
          <w:rFonts w:ascii="Calibri" w:hAnsi="Calibri" w:cs="Calibri"/>
          <w:bCs/>
          <w:i/>
          <w:iCs/>
          <w:sz w:val="22"/>
          <w:szCs w:val="22"/>
        </w:rPr>
        <w:t>czna</w:t>
      </w:r>
      <w:proofErr w:type="spellEnd"/>
      <w:r w:rsidR="009558A4" w:rsidRPr="00ED065A">
        <w:rPr>
          <w:rFonts w:ascii="Calibri" w:hAnsi="Calibri" w:cs="Calibri"/>
          <w:bCs/>
          <w:i/>
          <w:iCs/>
          <w:sz w:val="22"/>
          <w:szCs w:val="22"/>
        </w:rPr>
        <w:t xml:space="preserve"> zostały zreorganizowane i zaprojektowane </w:t>
      </w:r>
      <w:r w:rsidR="0017422C" w:rsidRPr="00ED065A">
        <w:rPr>
          <w:rFonts w:ascii="Calibri" w:hAnsi="Calibri" w:cs="Calibri"/>
          <w:bCs/>
          <w:i/>
          <w:iCs/>
          <w:sz w:val="22"/>
          <w:szCs w:val="22"/>
        </w:rPr>
        <w:t xml:space="preserve">w celu zwiększenia wydajności pracy </w:t>
      </w:r>
      <w:r w:rsidR="009558A4" w:rsidRPr="00ED065A">
        <w:rPr>
          <w:rFonts w:ascii="Calibri" w:hAnsi="Calibri" w:cs="Calibri"/>
          <w:bCs/>
          <w:sz w:val="22"/>
          <w:szCs w:val="22"/>
        </w:rPr>
        <w:t xml:space="preserve">– relacjonuje Julian </w:t>
      </w:r>
      <w:proofErr w:type="spellStart"/>
      <w:r w:rsidR="009558A4" w:rsidRPr="00ED065A">
        <w:rPr>
          <w:rFonts w:ascii="Calibri" w:hAnsi="Calibri" w:cs="Calibri"/>
          <w:bCs/>
          <w:sz w:val="22"/>
          <w:szCs w:val="22"/>
        </w:rPr>
        <w:t>Linnenbrink</w:t>
      </w:r>
      <w:proofErr w:type="spellEnd"/>
      <w:r w:rsidR="009558A4" w:rsidRPr="00ED065A">
        <w:rPr>
          <w:rFonts w:ascii="Calibri" w:hAnsi="Calibri" w:cs="Calibri"/>
          <w:bCs/>
          <w:sz w:val="22"/>
          <w:szCs w:val="22"/>
        </w:rPr>
        <w:t>, Project Manager ds.</w:t>
      </w:r>
      <w:r w:rsidR="0017422C" w:rsidRPr="00ED065A">
        <w:rPr>
          <w:rFonts w:ascii="Calibri" w:hAnsi="Calibri" w:cs="Calibri"/>
          <w:bCs/>
          <w:sz w:val="22"/>
          <w:szCs w:val="22"/>
        </w:rPr>
        <w:t> </w:t>
      </w:r>
      <w:proofErr w:type="spellStart"/>
      <w:r w:rsidR="009558A4" w:rsidRPr="00ED065A">
        <w:rPr>
          <w:rFonts w:ascii="Calibri" w:hAnsi="Calibri" w:cs="Calibri"/>
          <w:bCs/>
          <w:sz w:val="22"/>
          <w:szCs w:val="22"/>
        </w:rPr>
        <w:t>Intralogistyki</w:t>
      </w:r>
      <w:proofErr w:type="spellEnd"/>
      <w:r w:rsidR="009558A4" w:rsidRPr="00ED065A">
        <w:rPr>
          <w:rFonts w:ascii="Calibri" w:hAnsi="Calibri" w:cs="Calibri"/>
          <w:bCs/>
          <w:sz w:val="22"/>
          <w:szCs w:val="22"/>
        </w:rPr>
        <w:t xml:space="preserve"> w nowym centrum TROTEC. W obiekcie z</w:t>
      </w:r>
      <w:r w:rsidRPr="00ED065A">
        <w:rPr>
          <w:rFonts w:ascii="Calibri" w:hAnsi="Calibri" w:cs="Calibri"/>
          <w:bCs/>
          <w:sz w:val="22"/>
          <w:szCs w:val="22"/>
        </w:rPr>
        <w:t>adbano o dostęp do dużej ilości światła dziennego. Umieszczony na dachu system paneli fotowoltaicznych z nadwyżką zabezpiecza potrzeby energetyczne centrum. Z dbałością o zrównoważony rozwój zorganizowano także system zwrotów z e-commerce. Działające bez zarzutu urządzenia trafiają</w:t>
      </w:r>
      <w:r w:rsidR="0017422C" w:rsidRPr="00ED065A">
        <w:rPr>
          <w:rFonts w:ascii="Calibri" w:hAnsi="Calibri" w:cs="Calibri"/>
          <w:bCs/>
          <w:sz w:val="22"/>
          <w:szCs w:val="22"/>
        </w:rPr>
        <w:t xml:space="preserve"> </w:t>
      </w:r>
      <w:r w:rsidRPr="00ED065A">
        <w:rPr>
          <w:rFonts w:ascii="Calibri" w:hAnsi="Calibri" w:cs="Calibri"/>
          <w:bCs/>
          <w:sz w:val="22"/>
          <w:szCs w:val="22"/>
        </w:rPr>
        <w:t xml:space="preserve">do </w:t>
      </w:r>
      <w:proofErr w:type="spellStart"/>
      <w:r w:rsidRPr="00ED065A">
        <w:rPr>
          <w:rFonts w:ascii="Calibri" w:hAnsi="Calibri" w:cs="Calibri"/>
          <w:bCs/>
          <w:sz w:val="22"/>
          <w:szCs w:val="22"/>
        </w:rPr>
        <w:t>outletu</w:t>
      </w:r>
      <w:proofErr w:type="spellEnd"/>
      <w:r w:rsidRPr="00ED065A">
        <w:rPr>
          <w:rFonts w:ascii="Calibri" w:hAnsi="Calibri" w:cs="Calibri"/>
          <w:bCs/>
          <w:sz w:val="22"/>
          <w:szCs w:val="22"/>
        </w:rPr>
        <w:t>, a</w:t>
      </w:r>
      <w:r w:rsidR="0017422C" w:rsidRPr="00ED065A">
        <w:rPr>
          <w:rFonts w:ascii="Calibri" w:hAnsi="Calibri" w:cs="Calibri"/>
          <w:bCs/>
          <w:sz w:val="22"/>
          <w:szCs w:val="22"/>
        </w:rPr>
        <w:t xml:space="preserve"> </w:t>
      </w:r>
      <w:r w:rsidRPr="00ED065A">
        <w:rPr>
          <w:rFonts w:ascii="Calibri" w:hAnsi="Calibri" w:cs="Calibri"/>
          <w:bCs/>
          <w:sz w:val="22"/>
          <w:szCs w:val="22"/>
        </w:rPr>
        <w:t>pozostałe są</w:t>
      </w:r>
      <w:r w:rsidR="0017422C" w:rsidRPr="00ED065A">
        <w:rPr>
          <w:rFonts w:ascii="Calibri" w:hAnsi="Calibri" w:cs="Calibri"/>
          <w:bCs/>
          <w:sz w:val="22"/>
          <w:szCs w:val="22"/>
        </w:rPr>
        <w:t xml:space="preserve"> </w:t>
      </w:r>
      <w:r w:rsidRPr="00ED065A">
        <w:rPr>
          <w:rFonts w:ascii="Calibri" w:hAnsi="Calibri" w:cs="Calibri"/>
          <w:bCs/>
          <w:sz w:val="22"/>
          <w:szCs w:val="22"/>
        </w:rPr>
        <w:t>demontowane i poddawane recyklingowi. Oszczędność energii i minimalizowanie emisji CO2 były brane pod uwagę także na etapie doboru pojazdów transportu wewnętrznego.</w:t>
      </w:r>
    </w:p>
    <w:p w14:paraId="2BA36BDE" w14:textId="4244F4E7" w:rsidR="00620BAA" w:rsidRPr="00ED065A" w:rsidRDefault="00620BAA" w:rsidP="5E4BC5AE">
      <w:pPr>
        <w:keepNext/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ED065A">
        <w:rPr>
          <w:rFonts w:ascii="Calibri" w:hAnsi="Calibri" w:cs="Calibri"/>
          <w:b/>
          <w:bCs/>
          <w:sz w:val="22"/>
          <w:szCs w:val="22"/>
        </w:rPr>
        <w:t>Zastosowane rozwiązanie</w:t>
      </w:r>
    </w:p>
    <w:p w14:paraId="0D972C59" w14:textId="57EB2128" w:rsidR="00F71B3E" w:rsidRPr="00ED065A" w:rsidRDefault="00F33541" w:rsidP="00F71B3E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ED065A">
        <w:rPr>
          <w:rFonts w:ascii="Calibri" w:hAnsi="Calibri" w:cs="Calibri"/>
          <w:bCs/>
          <w:sz w:val="22"/>
          <w:szCs w:val="22"/>
        </w:rPr>
        <w:t xml:space="preserve">Chcąc zoptymalizować procesy transportu wewnętrznego, wzniesiono system regałowy wysokiego składowania na 49 tys. europalet. – </w:t>
      </w:r>
      <w:r w:rsidRPr="00ED065A">
        <w:rPr>
          <w:rFonts w:ascii="Calibri" w:hAnsi="Calibri" w:cs="Calibri"/>
          <w:bCs/>
          <w:i/>
          <w:iCs/>
          <w:sz w:val="22"/>
          <w:szCs w:val="22"/>
        </w:rPr>
        <w:t>To jeden z największych z</w:t>
      </w:r>
      <w:r w:rsidR="0017422C" w:rsidRPr="00ED065A">
        <w:rPr>
          <w:rFonts w:ascii="Calibri" w:hAnsi="Calibri" w:cs="Calibri"/>
          <w:bCs/>
          <w:i/>
          <w:iCs/>
          <w:sz w:val="22"/>
          <w:szCs w:val="22"/>
        </w:rPr>
        <w:t xml:space="preserve">e względu </w:t>
      </w:r>
      <w:r w:rsidRPr="00ED065A">
        <w:rPr>
          <w:rFonts w:ascii="Calibri" w:hAnsi="Calibri" w:cs="Calibri"/>
          <w:bCs/>
          <w:i/>
          <w:iCs/>
          <w:sz w:val="22"/>
          <w:szCs w:val="22"/>
        </w:rPr>
        <w:t>na pojemność</w:t>
      </w:r>
      <w:r w:rsidR="0017422C" w:rsidRPr="00ED065A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ED065A">
        <w:rPr>
          <w:rFonts w:ascii="Calibri" w:hAnsi="Calibri" w:cs="Calibri"/>
          <w:bCs/>
          <w:i/>
          <w:iCs/>
          <w:sz w:val="22"/>
          <w:szCs w:val="22"/>
        </w:rPr>
        <w:t xml:space="preserve">zrealizowanych przez nas projektów magazynowych. By przygotować centrum </w:t>
      </w:r>
      <w:r w:rsidR="00F71B3E" w:rsidRPr="00ED065A">
        <w:rPr>
          <w:rFonts w:ascii="Calibri" w:hAnsi="Calibri" w:cs="Calibri"/>
          <w:bCs/>
          <w:i/>
          <w:iCs/>
          <w:sz w:val="22"/>
          <w:szCs w:val="22"/>
        </w:rPr>
        <w:t xml:space="preserve">do zmiennych </w:t>
      </w:r>
      <w:r w:rsidRPr="00ED065A">
        <w:rPr>
          <w:rFonts w:ascii="Calibri" w:hAnsi="Calibri" w:cs="Calibri"/>
          <w:bCs/>
          <w:i/>
          <w:iCs/>
          <w:sz w:val="22"/>
          <w:szCs w:val="22"/>
        </w:rPr>
        <w:t>ze względu na właściwą tej branży sezonowość</w:t>
      </w:r>
      <w:r w:rsidR="00F71B3E" w:rsidRPr="00ED065A">
        <w:rPr>
          <w:rFonts w:ascii="Calibri" w:hAnsi="Calibri" w:cs="Calibri"/>
          <w:bCs/>
          <w:i/>
          <w:iCs/>
          <w:sz w:val="22"/>
          <w:szCs w:val="22"/>
        </w:rPr>
        <w:t xml:space="preserve"> warunków</w:t>
      </w:r>
      <w:r w:rsidRPr="00ED065A">
        <w:rPr>
          <w:rFonts w:ascii="Calibri" w:hAnsi="Calibri" w:cs="Calibri"/>
          <w:bCs/>
          <w:i/>
          <w:iCs/>
          <w:sz w:val="22"/>
          <w:szCs w:val="22"/>
        </w:rPr>
        <w:t xml:space="preserve">, w zależności od strefy zastosowaliśmy wąskie bądź szerokie korytarze, a w części magazynu regały </w:t>
      </w:r>
      <w:proofErr w:type="spellStart"/>
      <w:r w:rsidRPr="00ED065A">
        <w:rPr>
          <w:rFonts w:ascii="Calibri" w:hAnsi="Calibri" w:cs="Calibri"/>
          <w:bCs/>
          <w:i/>
          <w:iCs/>
          <w:sz w:val="22"/>
          <w:szCs w:val="22"/>
        </w:rPr>
        <w:t>wjezdne</w:t>
      </w:r>
      <w:proofErr w:type="spellEnd"/>
      <w:r w:rsidRPr="00ED065A">
        <w:rPr>
          <w:rFonts w:ascii="Calibri" w:hAnsi="Calibri" w:cs="Calibri"/>
          <w:bCs/>
          <w:i/>
          <w:iCs/>
          <w:sz w:val="22"/>
          <w:szCs w:val="22"/>
        </w:rPr>
        <w:t xml:space="preserve"> – </w:t>
      </w:r>
      <w:r w:rsidRPr="00ED065A">
        <w:rPr>
          <w:rFonts w:ascii="Calibri" w:hAnsi="Calibri" w:cs="Calibri"/>
          <w:bCs/>
          <w:sz w:val="22"/>
          <w:szCs w:val="22"/>
        </w:rPr>
        <w:t xml:space="preserve">opowiada Tobias </w:t>
      </w:r>
      <w:proofErr w:type="spellStart"/>
      <w:r w:rsidRPr="00ED065A">
        <w:rPr>
          <w:rFonts w:ascii="Calibri" w:hAnsi="Calibri" w:cs="Calibri"/>
          <w:bCs/>
          <w:sz w:val="22"/>
          <w:szCs w:val="22"/>
        </w:rPr>
        <w:t>Wegener</w:t>
      </w:r>
      <w:proofErr w:type="spellEnd"/>
      <w:r w:rsidRPr="00ED065A">
        <w:rPr>
          <w:rFonts w:ascii="Calibri" w:hAnsi="Calibri" w:cs="Calibri"/>
          <w:bCs/>
          <w:sz w:val="22"/>
          <w:szCs w:val="22"/>
        </w:rPr>
        <w:t xml:space="preserve">, Planner and Consultant for System Sales w Dortmundzkim oddziale STILL. Z myślą o najintensywniejszym czasie w roku, kiedy to dzienna liczba zamówień sięga 15 tys. sztuk urządzeń, powstała strefa regałów </w:t>
      </w:r>
      <w:proofErr w:type="spellStart"/>
      <w:r w:rsidRPr="00ED065A">
        <w:rPr>
          <w:rFonts w:ascii="Calibri" w:hAnsi="Calibri" w:cs="Calibri"/>
          <w:bCs/>
          <w:sz w:val="22"/>
          <w:szCs w:val="22"/>
        </w:rPr>
        <w:t>wjezdnych</w:t>
      </w:r>
      <w:proofErr w:type="spellEnd"/>
      <w:r w:rsidRPr="00ED065A">
        <w:rPr>
          <w:rFonts w:ascii="Calibri" w:hAnsi="Calibri" w:cs="Calibri"/>
          <w:bCs/>
          <w:sz w:val="22"/>
          <w:szCs w:val="22"/>
        </w:rPr>
        <w:t xml:space="preserve"> na 26 tys. palet. Pozwalają one na składowanie kilku jednostek spaletyzowanych towarów jedna za drugą na dwóch szynach nośnych i bardzo efektywnie wykorzystują dostępną przestrzeń. Regały w centrum TROTEC </w:t>
      </w:r>
      <w:r w:rsidR="0017422C" w:rsidRPr="00ED065A">
        <w:rPr>
          <w:rFonts w:ascii="Calibri" w:hAnsi="Calibri" w:cs="Calibri"/>
          <w:bCs/>
          <w:sz w:val="22"/>
          <w:szCs w:val="22"/>
        </w:rPr>
        <w:t>s</w:t>
      </w:r>
      <w:r w:rsidRPr="00ED065A">
        <w:rPr>
          <w:rFonts w:ascii="Calibri" w:hAnsi="Calibri" w:cs="Calibri"/>
          <w:bCs/>
          <w:sz w:val="22"/>
          <w:szCs w:val="22"/>
        </w:rPr>
        <w:t>ą obsługiwane przez elektryczne wózki widłowe STILL – czołowe RX 20 i RX 60 oraz wózki wysokiego składowania serii FM-X.</w:t>
      </w:r>
      <w:r w:rsidR="00F71B3E" w:rsidRPr="00ED065A">
        <w:rPr>
          <w:rFonts w:ascii="Calibri" w:hAnsi="Calibri" w:cs="Calibri"/>
          <w:bCs/>
          <w:sz w:val="22"/>
          <w:szCs w:val="22"/>
        </w:rPr>
        <w:t xml:space="preserve"> W charakteryzującej się szerokimi alejkami roboczymi strefie kompletacji pilotażowo zastosowano autonomicznego partnera kompletacji STILL OPX </w:t>
      </w:r>
      <w:proofErr w:type="spellStart"/>
      <w:r w:rsidR="00F71B3E" w:rsidRPr="00ED065A">
        <w:rPr>
          <w:rFonts w:ascii="Calibri" w:hAnsi="Calibri" w:cs="Calibri"/>
          <w:bCs/>
          <w:sz w:val="22"/>
          <w:szCs w:val="22"/>
        </w:rPr>
        <w:t>iGo</w:t>
      </w:r>
      <w:proofErr w:type="spellEnd"/>
      <w:r w:rsidR="00F71B3E" w:rsidRPr="00ED06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F71B3E" w:rsidRPr="00ED065A">
        <w:rPr>
          <w:rFonts w:ascii="Calibri" w:hAnsi="Calibri" w:cs="Calibri"/>
          <w:bCs/>
          <w:sz w:val="22"/>
          <w:szCs w:val="22"/>
        </w:rPr>
        <w:t>neo</w:t>
      </w:r>
      <w:proofErr w:type="spellEnd"/>
      <w:r w:rsidR="00F71B3E" w:rsidRPr="00ED065A">
        <w:rPr>
          <w:rFonts w:ascii="Calibri" w:hAnsi="Calibri" w:cs="Calibri"/>
          <w:bCs/>
          <w:sz w:val="22"/>
          <w:szCs w:val="22"/>
        </w:rPr>
        <w:t xml:space="preserve">. Ten transportowy robot współpracujący podąża za swoim ludzkim towarzyszem od jednej pozycji poboru ładunku do następnej. Dzięki hybrydowemu systemowi czujników niezawodnie i samodzielnie omija przeszkody i łagodnie zatrzymuje się, gdy nie jest to możliwe. </w:t>
      </w:r>
    </w:p>
    <w:p w14:paraId="0C014E3F" w14:textId="4B459279" w:rsidR="00620BAA" w:rsidRPr="00ED065A" w:rsidRDefault="00620BAA" w:rsidP="008D4727">
      <w:pPr>
        <w:keepNext/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ED065A">
        <w:rPr>
          <w:rFonts w:ascii="Calibri" w:hAnsi="Calibri" w:cs="Calibri"/>
          <w:b/>
          <w:sz w:val="22"/>
          <w:szCs w:val="22"/>
        </w:rPr>
        <w:t>Efekt wdrożenia</w:t>
      </w:r>
    </w:p>
    <w:p w14:paraId="6C3C3A0A" w14:textId="7DDCD708" w:rsidR="000442FD" w:rsidRPr="00ED065A" w:rsidRDefault="0053035F" w:rsidP="009558A4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ED065A">
        <w:rPr>
          <w:rFonts w:ascii="Calibri" w:hAnsi="Calibri" w:cs="Calibri"/>
          <w:bCs/>
          <w:sz w:val="22"/>
          <w:szCs w:val="22"/>
        </w:rPr>
        <w:t xml:space="preserve">Połączenie 7 lokalnych magazynów w jeden pozwoliło uprościć procesy logistyczne TROTEC i skuteczniej obsługiwać zwroty z e-commerce. – </w:t>
      </w:r>
      <w:r w:rsidRPr="00ED065A">
        <w:rPr>
          <w:rFonts w:ascii="Calibri" w:hAnsi="Calibri" w:cs="Calibri"/>
          <w:bCs/>
          <w:i/>
          <w:iCs/>
          <w:sz w:val="22"/>
          <w:szCs w:val="22"/>
        </w:rPr>
        <w:t xml:space="preserve">Nasze nowo wybudowane centrum logistyczne jest przepustowe na tyle, że może być wykorzystywane nie tylko na nasze potrzeby, ale także jako główne centrum dystrybucji w Niemczech grupy </w:t>
      </w:r>
      <w:proofErr w:type="spellStart"/>
      <w:r w:rsidRPr="00ED065A">
        <w:rPr>
          <w:rFonts w:ascii="Calibri" w:hAnsi="Calibri" w:cs="Calibri"/>
          <w:bCs/>
          <w:i/>
          <w:iCs/>
          <w:sz w:val="22"/>
          <w:szCs w:val="22"/>
        </w:rPr>
        <w:t>Dantherm</w:t>
      </w:r>
      <w:proofErr w:type="spellEnd"/>
      <w:r w:rsidRPr="00ED065A">
        <w:rPr>
          <w:rFonts w:ascii="Calibri" w:hAnsi="Calibri" w:cs="Calibri"/>
          <w:bCs/>
          <w:i/>
          <w:iCs/>
          <w:sz w:val="22"/>
          <w:szCs w:val="22"/>
        </w:rPr>
        <w:t xml:space="preserve">, z którą się połączyliśmy – </w:t>
      </w:r>
      <w:r w:rsidRPr="00ED065A">
        <w:rPr>
          <w:rFonts w:ascii="Calibri" w:hAnsi="Calibri" w:cs="Calibri"/>
          <w:bCs/>
          <w:sz w:val="22"/>
          <w:szCs w:val="22"/>
        </w:rPr>
        <w:t xml:space="preserve">opowiada Julian </w:t>
      </w:r>
      <w:proofErr w:type="spellStart"/>
      <w:r w:rsidRPr="00ED065A">
        <w:rPr>
          <w:rFonts w:ascii="Calibri" w:hAnsi="Calibri" w:cs="Calibri"/>
          <w:bCs/>
          <w:sz w:val="22"/>
          <w:szCs w:val="22"/>
        </w:rPr>
        <w:t>Linnenbrink</w:t>
      </w:r>
      <w:proofErr w:type="spellEnd"/>
      <w:r w:rsidRPr="00ED065A">
        <w:rPr>
          <w:rFonts w:ascii="Calibri" w:hAnsi="Calibri" w:cs="Calibri"/>
          <w:bCs/>
          <w:sz w:val="22"/>
          <w:szCs w:val="22"/>
        </w:rPr>
        <w:t xml:space="preserve">. – </w:t>
      </w:r>
      <w:r w:rsidRPr="00ED065A">
        <w:rPr>
          <w:rFonts w:ascii="Calibri" w:hAnsi="Calibri" w:cs="Calibri"/>
          <w:bCs/>
          <w:i/>
          <w:iCs/>
          <w:sz w:val="22"/>
          <w:szCs w:val="22"/>
        </w:rPr>
        <w:t xml:space="preserve">W </w:t>
      </w:r>
      <w:proofErr w:type="spellStart"/>
      <w:r w:rsidRPr="00ED065A">
        <w:rPr>
          <w:rFonts w:ascii="Calibri" w:hAnsi="Calibri" w:cs="Calibri"/>
          <w:bCs/>
          <w:i/>
          <w:iCs/>
          <w:sz w:val="22"/>
          <w:szCs w:val="22"/>
        </w:rPr>
        <w:t>Heinsbergu</w:t>
      </w:r>
      <w:proofErr w:type="spellEnd"/>
      <w:r w:rsidRPr="00ED065A">
        <w:rPr>
          <w:rFonts w:ascii="Calibri" w:hAnsi="Calibri" w:cs="Calibri"/>
          <w:bCs/>
          <w:i/>
          <w:iCs/>
          <w:sz w:val="22"/>
          <w:szCs w:val="22"/>
        </w:rPr>
        <w:t xml:space="preserve"> skonsolidowaliśmy siedem magazynów. Pozwoliło nam to pod jednym dachem obsługiwać logistykę wielu procesów. Zwiększyliśmy naszą całkowitą pojemność magazynową i efektywnie zreorganizowaliśmy procesy dostaw – </w:t>
      </w:r>
      <w:r w:rsidRPr="00ED065A">
        <w:rPr>
          <w:rFonts w:ascii="Calibri" w:hAnsi="Calibri" w:cs="Calibri"/>
          <w:bCs/>
          <w:sz w:val="22"/>
          <w:szCs w:val="22"/>
        </w:rPr>
        <w:t xml:space="preserve">podsumowuje Project Manager ds. </w:t>
      </w:r>
      <w:proofErr w:type="spellStart"/>
      <w:r w:rsidRPr="00ED065A">
        <w:rPr>
          <w:rFonts w:ascii="Calibri" w:hAnsi="Calibri" w:cs="Calibri"/>
          <w:bCs/>
          <w:sz w:val="22"/>
          <w:szCs w:val="22"/>
        </w:rPr>
        <w:t>Intralogistyki</w:t>
      </w:r>
      <w:proofErr w:type="spellEnd"/>
      <w:r w:rsidRPr="00ED065A">
        <w:rPr>
          <w:rFonts w:ascii="Calibri" w:hAnsi="Calibri" w:cs="Calibri"/>
          <w:bCs/>
          <w:sz w:val="22"/>
          <w:szCs w:val="22"/>
        </w:rPr>
        <w:t xml:space="preserve"> w nowym centrum TROTEC. Dzięki obejmującej m.in. </w:t>
      </w:r>
      <w:proofErr w:type="spellStart"/>
      <w:r w:rsidRPr="00ED065A">
        <w:rPr>
          <w:rFonts w:ascii="Calibri" w:hAnsi="Calibri" w:cs="Calibri"/>
          <w:bCs/>
          <w:sz w:val="22"/>
          <w:szCs w:val="22"/>
        </w:rPr>
        <w:t>wjezdne</w:t>
      </w:r>
      <w:proofErr w:type="spellEnd"/>
      <w:r w:rsidRPr="00ED065A">
        <w:rPr>
          <w:rFonts w:ascii="Calibri" w:hAnsi="Calibri" w:cs="Calibri"/>
          <w:bCs/>
          <w:sz w:val="22"/>
          <w:szCs w:val="22"/>
        </w:rPr>
        <w:t xml:space="preserve"> systemy regałowe wysokiego </w:t>
      </w:r>
      <w:r w:rsidRPr="00ED065A">
        <w:rPr>
          <w:rFonts w:ascii="Calibri" w:hAnsi="Calibri" w:cs="Calibri"/>
          <w:bCs/>
          <w:sz w:val="22"/>
          <w:szCs w:val="22"/>
        </w:rPr>
        <w:lastRenderedPageBreak/>
        <w:t xml:space="preserve">składowania koncepcji nowego centrum logistycznego firma jest w stanie skutecznie obsługiwać sezonowe szczyty logistyczne sięgające 15 000 zamówień dziennie. Autonomiczne wózki do kompletacji poziomej OPX </w:t>
      </w:r>
      <w:proofErr w:type="spellStart"/>
      <w:r w:rsidRPr="00ED065A">
        <w:rPr>
          <w:rFonts w:ascii="Calibri" w:hAnsi="Calibri" w:cs="Calibri"/>
          <w:bCs/>
          <w:sz w:val="22"/>
          <w:szCs w:val="22"/>
        </w:rPr>
        <w:t>iGo</w:t>
      </w:r>
      <w:proofErr w:type="spellEnd"/>
      <w:r w:rsidRPr="00ED06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D065A">
        <w:rPr>
          <w:rFonts w:ascii="Calibri" w:hAnsi="Calibri" w:cs="Calibri"/>
          <w:bCs/>
          <w:sz w:val="22"/>
          <w:szCs w:val="22"/>
        </w:rPr>
        <w:t>neo</w:t>
      </w:r>
      <w:proofErr w:type="spellEnd"/>
      <w:r w:rsidRPr="00ED065A">
        <w:rPr>
          <w:rFonts w:ascii="Calibri" w:hAnsi="Calibri" w:cs="Calibri"/>
          <w:bCs/>
          <w:sz w:val="22"/>
          <w:szCs w:val="22"/>
        </w:rPr>
        <w:t xml:space="preserve"> firmy STILL przyczyniają się z kolei do oszczędności czasu pracujących przy kompletacji operatorów. Szacuje się, że zmniejszają liczbę przypadków, w których operator musi wsiadać i wysiadać z wózka nawet o 75%.</w:t>
      </w:r>
    </w:p>
    <w:sectPr w:rsidR="000442FD" w:rsidRPr="00ED065A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41"/>
    <w:multiLevelType w:val="hybridMultilevel"/>
    <w:tmpl w:val="2FB8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44C"/>
    <w:multiLevelType w:val="hybridMultilevel"/>
    <w:tmpl w:val="76EE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0A36"/>
    <w:multiLevelType w:val="hybridMultilevel"/>
    <w:tmpl w:val="CF44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7579"/>
    <w:multiLevelType w:val="hybridMultilevel"/>
    <w:tmpl w:val="EA4AA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30385"/>
    <w:multiLevelType w:val="hybridMultilevel"/>
    <w:tmpl w:val="37982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0CC1"/>
    <w:multiLevelType w:val="hybridMultilevel"/>
    <w:tmpl w:val="F22E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66FF"/>
    <w:multiLevelType w:val="hybridMultilevel"/>
    <w:tmpl w:val="0D8C2E9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657108868">
    <w:abstractNumId w:val="6"/>
  </w:num>
  <w:num w:numId="2" w16cid:durableId="825165608">
    <w:abstractNumId w:val="0"/>
  </w:num>
  <w:num w:numId="3" w16cid:durableId="951320648">
    <w:abstractNumId w:val="1"/>
  </w:num>
  <w:num w:numId="4" w16cid:durableId="1702903425">
    <w:abstractNumId w:val="3"/>
  </w:num>
  <w:num w:numId="5" w16cid:durableId="160657380">
    <w:abstractNumId w:val="5"/>
  </w:num>
  <w:num w:numId="6" w16cid:durableId="1482309616">
    <w:abstractNumId w:val="4"/>
  </w:num>
  <w:num w:numId="7" w16cid:durableId="1009143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08"/>
    <w:rsid w:val="0000708C"/>
    <w:rsid w:val="000442FD"/>
    <w:rsid w:val="000A7891"/>
    <w:rsid w:val="000C3F08"/>
    <w:rsid w:val="000C4058"/>
    <w:rsid w:val="000D017E"/>
    <w:rsid w:val="000D400E"/>
    <w:rsid w:val="000E3551"/>
    <w:rsid w:val="000E5243"/>
    <w:rsid w:val="00127288"/>
    <w:rsid w:val="00131D96"/>
    <w:rsid w:val="001353E2"/>
    <w:rsid w:val="00154F8F"/>
    <w:rsid w:val="001630FA"/>
    <w:rsid w:val="0017422C"/>
    <w:rsid w:val="001871AB"/>
    <w:rsid w:val="00191F65"/>
    <w:rsid w:val="00192889"/>
    <w:rsid w:val="001A48E4"/>
    <w:rsid w:val="001B4A05"/>
    <w:rsid w:val="001B635A"/>
    <w:rsid w:val="001B7B05"/>
    <w:rsid w:val="001D1E94"/>
    <w:rsid w:val="001D7AEA"/>
    <w:rsid w:val="00216599"/>
    <w:rsid w:val="0022146E"/>
    <w:rsid w:val="00296DFF"/>
    <w:rsid w:val="002B3646"/>
    <w:rsid w:val="00313BAF"/>
    <w:rsid w:val="00363D90"/>
    <w:rsid w:val="00366302"/>
    <w:rsid w:val="003C6EFA"/>
    <w:rsid w:val="003D7E2E"/>
    <w:rsid w:val="003E4325"/>
    <w:rsid w:val="003E4DD9"/>
    <w:rsid w:val="00420111"/>
    <w:rsid w:val="0043182B"/>
    <w:rsid w:val="00444F0B"/>
    <w:rsid w:val="004930A8"/>
    <w:rsid w:val="004A7B22"/>
    <w:rsid w:val="004E03A5"/>
    <w:rsid w:val="004E4740"/>
    <w:rsid w:val="004E7B68"/>
    <w:rsid w:val="0051774B"/>
    <w:rsid w:val="0053035F"/>
    <w:rsid w:val="00532A7A"/>
    <w:rsid w:val="00551603"/>
    <w:rsid w:val="005F782D"/>
    <w:rsid w:val="00620BAA"/>
    <w:rsid w:val="00653C18"/>
    <w:rsid w:val="00666C17"/>
    <w:rsid w:val="0067480B"/>
    <w:rsid w:val="00676F3D"/>
    <w:rsid w:val="006B1646"/>
    <w:rsid w:val="006C54A2"/>
    <w:rsid w:val="006D40EB"/>
    <w:rsid w:val="006D65D6"/>
    <w:rsid w:val="007115B8"/>
    <w:rsid w:val="00757EAA"/>
    <w:rsid w:val="00776AE5"/>
    <w:rsid w:val="007818AB"/>
    <w:rsid w:val="007B5241"/>
    <w:rsid w:val="007B7616"/>
    <w:rsid w:val="007C0D85"/>
    <w:rsid w:val="007D5A93"/>
    <w:rsid w:val="007F336E"/>
    <w:rsid w:val="008009C3"/>
    <w:rsid w:val="00847323"/>
    <w:rsid w:val="00854CE2"/>
    <w:rsid w:val="008763D6"/>
    <w:rsid w:val="00882FEB"/>
    <w:rsid w:val="00885D63"/>
    <w:rsid w:val="008A7622"/>
    <w:rsid w:val="008B055E"/>
    <w:rsid w:val="008D4727"/>
    <w:rsid w:val="008F51AE"/>
    <w:rsid w:val="009101E8"/>
    <w:rsid w:val="00953D59"/>
    <w:rsid w:val="009558A4"/>
    <w:rsid w:val="009F0DFC"/>
    <w:rsid w:val="009F64EB"/>
    <w:rsid w:val="00A01B9D"/>
    <w:rsid w:val="00A3444A"/>
    <w:rsid w:val="00A371B1"/>
    <w:rsid w:val="00A44E87"/>
    <w:rsid w:val="00A9528F"/>
    <w:rsid w:val="00AB10A3"/>
    <w:rsid w:val="00AB2ADD"/>
    <w:rsid w:val="00B04E7D"/>
    <w:rsid w:val="00B36308"/>
    <w:rsid w:val="00B819FA"/>
    <w:rsid w:val="00B84697"/>
    <w:rsid w:val="00B94644"/>
    <w:rsid w:val="00BA4CE6"/>
    <w:rsid w:val="00BE6A79"/>
    <w:rsid w:val="00BF08D2"/>
    <w:rsid w:val="00C30267"/>
    <w:rsid w:val="00C34B45"/>
    <w:rsid w:val="00C47151"/>
    <w:rsid w:val="00C74C47"/>
    <w:rsid w:val="00CB1483"/>
    <w:rsid w:val="00CC1434"/>
    <w:rsid w:val="00CD664A"/>
    <w:rsid w:val="00CD70B6"/>
    <w:rsid w:val="00CF5CA8"/>
    <w:rsid w:val="00D21972"/>
    <w:rsid w:val="00D22B31"/>
    <w:rsid w:val="00D37A38"/>
    <w:rsid w:val="00D75DAA"/>
    <w:rsid w:val="00DA592E"/>
    <w:rsid w:val="00E055CA"/>
    <w:rsid w:val="00E271CA"/>
    <w:rsid w:val="00E57BBD"/>
    <w:rsid w:val="00E842A9"/>
    <w:rsid w:val="00EB3B2D"/>
    <w:rsid w:val="00ED065A"/>
    <w:rsid w:val="00EE0411"/>
    <w:rsid w:val="00EE1EC2"/>
    <w:rsid w:val="00F01E7E"/>
    <w:rsid w:val="00F33541"/>
    <w:rsid w:val="00F60C86"/>
    <w:rsid w:val="00F65B21"/>
    <w:rsid w:val="00F71B3E"/>
    <w:rsid w:val="00F9320C"/>
    <w:rsid w:val="00FD6B1C"/>
    <w:rsid w:val="5E4BC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8FB0"/>
  <w15:chartTrackingRefBased/>
  <w15:docId w15:val="{E6D0BD8C-3D1D-0D4B-B71A-3357152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30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3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D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4D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B7B05"/>
  </w:style>
  <w:style w:type="character" w:customStyle="1" w:styleId="normaltextrun">
    <w:name w:val="normaltextrun"/>
    <w:basedOn w:val="Domylnaczcionkaakapitu"/>
    <w:rsid w:val="00366302"/>
  </w:style>
  <w:style w:type="character" w:customStyle="1" w:styleId="eop">
    <w:name w:val="eop"/>
    <w:basedOn w:val="Domylnaczcionkaakapitu"/>
    <w:rsid w:val="00366302"/>
  </w:style>
  <w:style w:type="character" w:styleId="UyteHipercze">
    <w:name w:val="FollowedHyperlink"/>
    <w:basedOn w:val="Domylnaczcionkaakapitu"/>
    <w:uiPriority w:val="99"/>
    <w:semiHidden/>
    <w:unhideWhenUsed/>
    <w:rsid w:val="000C4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8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8" ma:contentTypeDescription="Ein neues Dokument erstellen." ma:contentTypeScope="" ma:versionID="db4afbcc1aad2cc0b64321134c2be05d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16200faefa379f666713790b2b99f280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02A52-64D3-4B98-A398-8EB1FE2625C4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customXml/itemProps2.xml><?xml version="1.0" encoding="utf-8"?>
<ds:datastoreItem xmlns:ds="http://schemas.openxmlformats.org/officeDocument/2006/customXml" ds:itemID="{3DAE5A6F-B2E5-49E5-BB48-72317A7AC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9057C-99F7-4773-99C8-080503E00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Wojciech  Podsiadły</cp:lastModifiedBy>
  <cp:revision>5</cp:revision>
  <dcterms:created xsi:type="dcterms:W3CDTF">2024-06-28T08:17:00Z</dcterms:created>
  <dcterms:modified xsi:type="dcterms:W3CDTF">2024-07-11T14:51:00Z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  <property fmtid="{D5CDD505-2E9C-101B-9397-08002B2CF9AE}" pid="3" name="MediaServiceImageTags">
    <vt:lpwstr/>
  </property>
</Properties>
</file>